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62A76" w14:textId="31DBD1FA" w:rsidR="00177B88" w:rsidRPr="0052548E" w:rsidRDefault="00177B88" w:rsidP="00177B88">
      <w:pPr>
        <w:tabs>
          <w:tab w:val="center" w:pos="4536"/>
          <w:tab w:val="right" w:pos="9356"/>
          <w:tab w:val="right" w:pos="9639"/>
        </w:tabs>
        <w:spacing w:after="0"/>
        <w:rPr>
          <w:rFonts w:ascii="Arial" w:hAnsi="Arial" w:cs="Arial"/>
          <w:b/>
          <w:bCs/>
          <w:sz w:val="28"/>
        </w:rPr>
      </w:pPr>
      <w:r w:rsidRPr="0052548E">
        <w:rPr>
          <w:rFonts w:ascii="Arial" w:hAnsi="Arial" w:cs="Arial"/>
          <w:b/>
          <w:bCs/>
          <w:sz w:val="28"/>
        </w:rPr>
        <w:t xml:space="preserve">3GPP TSG RAN WG1 Meeting </w:t>
      </w:r>
      <w:r>
        <w:rPr>
          <w:rFonts w:ascii="Arial" w:hAnsi="Arial" w:cs="Arial"/>
          <w:b/>
          <w:bCs/>
          <w:sz w:val="28"/>
        </w:rPr>
        <w:t>NR#3</w:t>
      </w:r>
      <w:r>
        <w:rPr>
          <w:rFonts w:ascii="Arial" w:eastAsia="MS Mincho" w:hAnsi="Arial" w:cs="Arial"/>
          <w:b/>
          <w:bCs/>
          <w:sz w:val="28"/>
          <w:lang w:eastAsia="ja-JP"/>
        </w:rPr>
        <w:tab/>
      </w:r>
      <w:r>
        <w:rPr>
          <w:rFonts w:ascii="Arial" w:hAnsi="Arial" w:cs="Arial"/>
          <w:b/>
          <w:bCs/>
          <w:sz w:val="28"/>
        </w:rPr>
        <w:t xml:space="preserve">           R1-1</w:t>
      </w:r>
      <w:r>
        <w:rPr>
          <w:rFonts w:ascii="Arial" w:eastAsia="MS Mincho" w:hAnsi="Arial" w:cs="Arial"/>
          <w:b/>
          <w:bCs/>
          <w:sz w:val="28"/>
          <w:lang w:eastAsia="ja-JP"/>
        </w:rPr>
        <w:t>7</w:t>
      </w:r>
      <w:r w:rsidR="00D25BD5">
        <w:rPr>
          <w:rFonts w:ascii="Arial" w:eastAsia="MS Mincho" w:hAnsi="Arial" w:cs="Arial"/>
          <w:b/>
          <w:bCs/>
          <w:sz w:val="28"/>
          <w:lang w:eastAsia="ja-JP"/>
        </w:rPr>
        <w:t>15748</w:t>
      </w:r>
    </w:p>
    <w:p w14:paraId="32B7E708" w14:textId="77777777" w:rsidR="00177B88" w:rsidRPr="009513AC" w:rsidRDefault="00177B88" w:rsidP="00177B8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14:paraId="56A8114B" w14:textId="77777777" w:rsidR="00CA26CE" w:rsidRPr="0016316A" w:rsidRDefault="00CA26CE" w:rsidP="00CA26CE">
      <w:pPr>
        <w:pStyle w:val="Header"/>
        <w:rPr>
          <w:bCs/>
          <w:noProof w:val="0"/>
          <w:sz w:val="24"/>
          <w:lang w:val="en-GB" w:eastAsia="ja-JP"/>
        </w:rPr>
      </w:pPr>
    </w:p>
    <w:p w14:paraId="08AC4AD5" w14:textId="0355ED85"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7440FE">
        <w:rPr>
          <w:rFonts w:cs="Arial"/>
          <w:b/>
          <w:bCs/>
          <w:sz w:val="24"/>
        </w:rPr>
        <w:t>6</w:t>
      </w:r>
      <w:r w:rsidR="00177B88">
        <w:rPr>
          <w:rFonts w:cs="Arial"/>
          <w:b/>
          <w:bCs/>
          <w:sz w:val="24"/>
        </w:rPr>
        <w:t>.1.3.1</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3BAF6314"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177B88">
        <w:rPr>
          <w:rFonts w:ascii="Arial" w:hAnsi="Arial" w:cs="Arial"/>
          <w:b/>
          <w:bCs/>
          <w:sz w:val="24"/>
        </w:rPr>
        <w:t>Remaining details o</w:t>
      </w:r>
      <w:r w:rsidR="00322CA0">
        <w:rPr>
          <w:rFonts w:ascii="Arial" w:hAnsi="Arial" w:cs="Arial"/>
          <w:b/>
          <w:bCs/>
          <w:sz w:val="24"/>
        </w:rPr>
        <w:t>f</w:t>
      </w:r>
      <w:r w:rsidR="00177B88">
        <w:rPr>
          <w:rFonts w:ascii="Arial" w:hAnsi="Arial" w:cs="Arial"/>
          <w:b/>
          <w:bCs/>
          <w:sz w:val="24"/>
        </w:rPr>
        <w:t xml:space="preserve"> PDCCH construction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097C0530" w14:textId="35CE7641" w:rsidR="004A64F6" w:rsidRDefault="004A64F6" w:rsidP="004A64F6">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w:t>
      </w:r>
      <w:proofErr w:type="spellStart"/>
      <w:r w:rsidRPr="004E1CF4">
        <w:rPr>
          <w:bCs/>
        </w:rPr>
        <w:t>eMBB</w:t>
      </w:r>
      <w:proofErr w:type="spellEnd"/>
      <w:r w:rsidRPr="004E1CF4">
        <w:rPr>
          <w:bCs/>
        </w:rPr>
        <w:t>) and ultra-reliable low-latency-communication (URLLC) as defined in [</w:t>
      </w:r>
      <w:r>
        <w:rPr>
          <w:bCs/>
        </w:rPr>
        <w:t>3</w:t>
      </w:r>
      <w:r w:rsidRPr="004E1CF4">
        <w:rPr>
          <w:bCs/>
        </w:rPr>
        <w:t>]. The NR under this work item should consider frequency ranges up to 52.6 GHz.</w:t>
      </w:r>
    </w:p>
    <w:p w14:paraId="3A9F2E0A" w14:textId="740F46A8" w:rsidR="00F825B5" w:rsidRDefault="00F825B5" w:rsidP="00F825B5">
      <w:pPr>
        <w:spacing w:after="120"/>
        <w:jc w:val="both"/>
        <w:rPr>
          <w:rFonts w:eastAsia="Malgun Gothic"/>
        </w:rPr>
      </w:pPr>
      <w:r>
        <w:rPr>
          <w:bCs/>
        </w:rPr>
        <w:t xml:space="preserve">This contribution relates to </w:t>
      </w:r>
      <w:r w:rsidR="001E1791">
        <w:rPr>
          <w:bCs/>
        </w:rPr>
        <w:t xml:space="preserve">remaining details of </w:t>
      </w:r>
      <w:r>
        <w:rPr>
          <w:bCs/>
        </w:rPr>
        <w:t xml:space="preserve">PDCCH </w:t>
      </w:r>
      <w:r w:rsidR="00A91E17">
        <w:rPr>
          <w:bCs/>
        </w:rPr>
        <w:t>structure</w:t>
      </w:r>
      <w:bookmarkStart w:id="0" w:name="_GoBack"/>
      <w:bookmarkEnd w:id="0"/>
      <w:r>
        <w:rPr>
          <w:bCs/>
        </w:rPr>
        <w:t xml:space="preserve"> for NR. The following agreements and working assumptions</w:t>
      </w:r>
      <w:r w:rsidR="006E1A08">
        <w:rPr>
          <w:bCs/>
        </w:rPr>
        <w:t xml:space="preserve"> were made in RAN1 #</w:t>
      </w:r>
      <w:r w:rsidR="00177B88">
        <w:rPr>
          <w:bCs/>
        </w:rPr>
        <w:t>90</w:t>
      </w:r>
      <w:r w:rsidR="006E1A08">
        <w:rPr>
          <w:bCs/>
        </w:rPr>
        <w:t xml:space="preserve"> [</w:t>
      </w:r>
      <w:r w:rsidR="00E74104">
        <w:rPr>
          <w:bCs/>
        </w:rPr>
        <w:t>4</w:t>
      </w:r>
      <w:r w:rsidR="006E1A08">
        <w:rPr>
          <w:bCs/>
        </w:rPr>
        <w:t>]</w:t>
      </w:r>
      <w:r w:rsidR="00177B88">
        <w:rPr>
          <w:bCs/>
        </w:rPr>
        <w:t>.</w:t>
      </w:r>
    </w:p>
    <w:p w14:paraId="5FFCF2D7" w14:textId="024B6A9D" w:rsidR="00907086" w:rsidRPr="004A1271" w:rsidRDefault="00907086" w:rsidP="00907086">
      <w:pPr>
        <w:spacing w:after="0"/>
        <w:jc w:val="both"/>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p>
    <w:p w14:paraId="510B6F42" w14:textId="77777777" w:rsidR="00177B88" w:rsidRPr="00177B88" w:rsidRDefault="00177B88" w:rsidP="00177B88">
      <w:pPr>
        <w:pStyle w:val="ListParagraph"/>
        <w:numPr>
          <w:ilvl w:val="0"/>
          <w:numId w:val="2"/>
        </w:numPr>
        <w:spacing w:after="120"/>
        <w:jc w:val="both"/>
        <w:rPr>
          <w:rFonts w:eastAsia="Malgun Gothic"/>
          <w:sz w:val="17"/>
          <w:szCs w:val="17"/>
          <w:lang w:val="en-US"/>
        </w:rPr>
      </w:pPr>
      <w:r w:rsidRPr="00177B88">
        <w:rPr>
          <w:rFonts w:eastAsia="Malgun Gothic"/>
          <w:sz w:val="17"/>
          <w:szCs w:val="17"/>
          <w:lang w:val="en-US"/>
        </w:rPr>
        <w:t>Working assumptions are confirmed with the following details.</w:t>
      </w:r>
    </w:p>
    <w:p w14:paraId="3EB82259" w14:textId="77777777" w:rsidR="00177B88" w:rsidRPr="00177B88" w:rsidRDefault="00177B88" w:rsidP="00177B88">
      <w:pPr>
        <w:pStyle w:val="ListParagraph"/>
        <w:numPr>
          <w:ilvl w:val="1"/>
          <w:numId w:val="2"/>
        </w:numPr>
        <w:spacing w:after="120"/>
        <w:jc w:val="both"/>
        <w:rPr>
          <w:rFonts w:eastAsia="Malgun Gothic"/>
          <w:sz w:val="17"/>
          <w:szCs w:val="17"/>
          <w:lang w:val="en-US"/>
        </w:rPr>
      </w:pPr>
      <w:r w:rsidRPr="00177B88">
        <w:rPr>
          <w:rFonts w:eastAsia="Malgun Gothic"/>
          <w:sz w:val="17"/>
          <w:szCs w:val="17"/>
          <w:lang w:val="en-US"/>
        </w:rPr>
        <w:t>For 1/2/3-symbol CORESET, REG bundle size of 6 is supported.</w:t>
      </w:r>
    </w:p>
    <w:p w14:paraId="390A9556" w14:textId="77777777" w:rsidR="00177B88" w:rsidRPr="00177B88" w:rsidRDefault="00177B88" w:rsidP="00177B88">
      <w:pPr>
        <w:pStyle w:val="ListParagraph"/>
        <w:numPr>
          <w:ilvl w:val="1"/>
          <w:numId w:val="2"/>
        </w:numPr>
        <w:spacing w:after="120"/>
        <w:jc w:val="both"/>
        <w:rPr>
          <w:rFonts w:eastAsia="Malgun Gothic"/>
          <w:sz w:val="17"/>
          <w:szCs w:val="17"/>
          <w:lang w:val="en-US"/>
        </w:rPr>
      </w:pPr>
      <w:r w:rsidRPr="00177B88">
        <w:rPr>
          <w:rFonts w:eastAsia="Malgun Gothic"/>
          <w:sz w:val="17"/>
          <w:szCs w:val="17"/>
          <w:lang w:val="en-US"/>
        </w:rPr>
        <w:t xml:space="preserve">A REG bundle size is as part of CORESET configuration for a CORESET configured by UE-specific higher-layer </w:t>
      </w:r>
      <w:proofErr w:type="spellStart"/>
      <w:r w:rsidRPr="00177B88">
        <w:rPr>
          <w:rFonts w:eastAsia="Malgun Gothic"/>
          <w:sz w:val="17"/>
          <w:szCs w:val="17"/>
          <w:lang w:val="en-US"/>
        </w:rPr>
        <w:t>signalling</w:t>
      </w:r>
      <w:proofErr w:type="spellEnd"/>
      <w:r w:rsidRPr="00177B88">
        <w:rPr>
          <w:rFonts w:eastAsia="Malgun Gothic"/>
          <w:sz w:val="17"/>
          <w:szCs w:val="17"/>
          <w:lang w:val="en-US"/>
        </w:rPr>
        <w:t>.</w:t>
      </w:r>
    </w:p>
    <w:p w14:paraId="660FD862" w14:textId="77777777" w:rsidR="00177B88" w:rsidRPr="00177B88" w:rsidRDefault="00177B88" w:rsidP="00177B88">
      <w:pPr>
        <w:pStyle w:val="ListParagraph"/>
        <w:numPr>
          <w:ilvl w:val="1"/>
          <w:numId w:val="2"/>
        </w:numPr>
        <w:spacing w:after="120"/>
        <w:jc w:val="both"/>
        <w:rPr>
          <w:rFonts w:eastAsia="Malgun Gothic"/>
          <w:sz w:val="17"/>
          <w:szCs w:val="17"/>
          <w:lang w:val="en-US"/>
        </w:rPr>
      </w:pPr>
      <w:r w:rsidRPr="00177B88">
        <w:rPr>
          <w:rFonts w:eastAsia="Malgun Gothic"/>
          <w:sz w:val="17"/>
          <w:szCs w:val="17"/>
          <w:lang w:val="en-US"/>
        </w:rPr>
        <w:t xml:space="preserve">FFS: CORESET(s) configured by </w:t>
      </w:r>
      <w:proofErr w:type="gramStart"/>
      <w:r w:rsidRPr="00177B88">
        <w:rPr>
          <w:rFonts w:eastAsia="Malgun Gothic"/>
          <w:sz w:val="17"/>
          <w:szCs w:val="17"/>
          <w:lang w:val="en-US"/>
        </w:rPr>
        <w:t>non UE</w:t>
      </w:r>
      <w:proofErr w:type="gramEnd"/>
      <w:r w:rsidRPr="00177B88">
        <w:rPr>
          <w:rFonts w:eastAsia="Malgun Gothic"/>
          <w:sz w:val="17"/>
          <w:szCs w:val="17"/>
          <w:lang w:val="en-US"/>
        </w:rPr>
        <w:t>-specific signaling.</w:t>
      </w:r>
    </w:p>
    <w:p w14:paraId="08ED2722" w14:textId="77777777" w:rsidR="00177B88" w:rsidRPr="00177B88" w:rsidRDefault="00177B88" w:rsidP="00177B88">
      <w:pPr>
        <w:pStyle w:val="ListParagraph"/>
        <w:numPr>
          <w:ilvl w:val="1"/>
          <w:numId w:val="2"/>
        </w:numPr>
        <w:spacing w:after="120"/>
        <w:jc w:val="both"/>
        <w:rPr>
          <w:rFonts w:eastAsia="Malgun Gothic"/>
          <w:sz w:val="17"/>
          <w:szCs w:val="17"/>
          <w:lang w:val="en-US"/>
        </w:rPr>
      </w:pPr>
      <w:r w:rsidRPr="00177B88">
        <w:rPr>
          <w:rFonts w:eastAsia="Malgun Gothic"/>
          <w:sz w:val="17"/>
          <w:szCs w:val="17"/>
          <w:lang w:val="en-US"/>
        </w:rPr>
        <w:t>UE assumes that precoder granularity in frequency domain is equal to the REG bundle size in the frequency domain</w:t>
      </w:r>
    </w:p>
    <w:p w14:paraId="0D02FCAD" w14:textId="77777777" w:rsidR="00177B88" w:rsidRPr="00177B88" w:rsidRDefault="00177B88" w:rsidP="00177B88">
      <w:pPr>
        <w:pStyle w:val="ListParagraph"/>
        <w:numPr>
          <w:ilvl w:val="1"/>
          <w:numId w:val="2"/>
        </w:numPr>
        <w:spacing w:after="120"/>
        <w:jc w:val="both"/>
        <w:rPr>
          <w:rFonts w:eastAsia="Malgun Gothic"/>
          <w:sz w:val="17"/>
          <w:szCs w:val="17"/>
          <w:lang w:val="en-US"/>
        </w:rPr>
      </w:pPr>
      <w:r w:rsidRPr="00177B88">
        <w:rPr>
          <w:rFonts w:eastAsia="Malgun Gothic"/>
          <w:sz w:val="17"/>
          <w:szCs w:val="17"/>
          <w:lang w:val="en-US"/>
        </w:rPr>
        <w:t xml:space="preserve">FFS: </w:t>
      </w:r>
      <w:proofErr w:type="spellStart"/>
      <w:r w:rsidRPr="00177B88">
        <w:rPr>
          <w:rFonts w:eastAsia="Malgun Gothic"/>
          <w:sz w:val="17"/>
          <w:szCs w:val="17"/>
          <w:lang w:val="en-US"/>
        </w:rPr>
        <w:t>gNB</w:t>
      </w:r>
      <w:proofErr w:type="spellEnd"/>
      <w:r w:rsidRPr="00177B88">
        <w:rPr>
          <w:rFonts w:eastAsia="Malgun Gothic"/>
          <w:sz w:val="17"/>
          <w:szCs w:val="17"/>
          <w:lang w:val="en-US"/>
        </w:rPr>
        <w:t xml:space="preserve"> can inform to the UE </w:t>
      </w:r>
      <w:proofErr w:type="gramStart"/>
      <w:r w:rsidRPr="00177B88">
        <w:rPr>
          <w:rFonts w:eastAsia="Malgun Gothic"/>
          <w:sz w:val="17"/>
          <w:szCs w:val="17"/>
          <w:lang w:val="en-US"/>
        </w:rPr>
        <w:t>whether or not</w:t>
      </w:r>
      <w:proofErr w:type="gramEnd"/>
      <w:r w:rsidRPr="00177B88">
        <w:rPr>
          <w:rFonts w:eastAsia="Malgun Gothic"/>
          <w:sz w:val="17"/>
          <w:szCs w:val="17"/>
          <w:lang w:val="en-US"/>
        </w:rPr>
        <w:t xml:space="preserve"> to assume the same precoder over multiple REG bundles.</w:t>
      </w:r>
    </w:p>
    <w:p w14:paraId="2B08D02D" w14:textId="3E00CC08" w:rsidR="00EE7B5A" w:rsidRDefault="00177B88" w:rsidP="00177B88">
      <w:pPr>
        <w:pStyle w:val="ListParagraph"/>
        <w:numPr>
          <w:ilvl w:val="1"/>
          <w:numId w:val="2"/>
        </w:numPr>
        <w:spacing w:after="120"/>
        <w:jc w:val="both"/>
        <w:rPr>
          <w:rFonts w:eastAsia="Malgun Gothic"/>
          <w:sz w:val="17"/>
          <w:szCs w:val="17"/>
          <w:lang w:val="en-US"/>
        </w:rPr>
      </w:pPr>
      <w:r w:rsidRPr="00177B88">
        <w:rPr>
          <w:rFonts w:eastAsia="Malgun Gothic"/>
          <w:sz w:val="17"/>
          <w:szCs w:val="17"/>
          <w:lang w:val="en-US"/>
        </w:rPr>
        <w:t>Note: more than one CORESET(s) with the UE-specific higher-layer signaling can be configured for the same UE</w:t>
      </w:r>
      <w:r w:rsidR="00EE7B5A" w:rsidRPr="00EE7B5A">
        <w:rPr>
          <w:rFonts w:eastAsia="Malgun Gothic"/>
          <w:sz w:val="17"/>
          <w:szCs w:val="17"/>
          <w:lang w:val="en-US"/>
        </w:rPr>
        <w:t>.</w:t>
      </w:r>
    </w:p>
    <w:p w14:paraId="07B5FE18" w14:textId="5279EF87" w:rsidR="00F825B5" w:rsidRPr="004A1271" w:rsidRDefault="00F825B5" w:rsidP="00F825B5">
      <w:pPr>
        <w:spacing w:after="0"/>
        <w:jc w:val="both"/>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Pr>
          <w:rFonts w:eastAsia="Malgun Gothic"/>
        </w:rPr>
        <w:t xml:space="preserve"> </w:t>
      </w:r>
    </w:p>
    <w:p w14:paraId="186AAB48" w14:textId="77777777" w:rsidR="00606AC6" w:rsidRPr="00606AC6" w:rsidRDefault="00606AC6" w:rsidP="00606AC6">
      <w:pPr>
        <w:pStyle w:val="ListParagraph"/>
        <w:numPr>
          <w:ilvl w:val="0"/>
          <w:numId w:val="2"/>
        </w:numPr>
        <w:spacing w:after="120"/>
        <w:jc w:val="both"/>
        <w:rPr>
          <w:rFonts w:eastAsia="Malgun Gothic"/>
          <w:sz w:val="17"/>
          <w:szCs w:val="17"/>
          <w:lang w:val="en-US"/>
        </w:rPr>
      </w:pPr>
      <w:r w:rsidRPr="00606AC6">
        <w:rPr>
          <w:rFonts w:eastAsia="Malgun Gothic"/>
          <w:sz w:val="17"/>
          <w:szCs w:val="17"/>
          <w:lang w:val="en-US"/>
        </w:rPr>
        <w:t>Interleaving operates on REG bundles</w:t>
      </w:r>
    </w:p>
    <w:p w14:paraId="3D0A2C9E" w14:textId="4F39B702" w:rsidR="00F825B5" w:rsidRDefault="00606AC6" w:rsidP="00606AC6">
      <w:pPr>
        <w:pStyle w:val="ListParagraph"/>
        <w:numPr>
          <w:ilvl w:val="1"/>
          <w:numId w:val="2"/>
        </w:numPr>
        <w:spacing w:after="120"/>
        <w:jc w:val="both"/>
        <w:rPr>
          <w:rFonts w:eastAsia="Malgun Gothic"/>
          <w:sz w:val="17"/>
          <w:szCs w:val="17"/>
          <w:lang w:val="en-US"/>
        </w:rPr>
      </w:pPr>
      <w:r w:rsidRPr="00606AC6">
        <w:rPr>
          <w:rFonts w:eastAsia="Malgun Gothic"/>
          <w:sz w:val="17"/>
          <w:szCs w:val="17"/>
          <w:lang w:val="en-US"/>
        </w:rPr>
        <w:t xml:space="preserve">FFS: interleaving in the case </w:t>
      </w:r>
      <w:proofErr w:type="gramStart"/>
      <w:r w:rsidRPr="00606AC6">
        <w:rPr>
          <w:rFonts w:eastAsia="Malgun Gothic"/>
          <w:sz w:val="17"/>
          <w:szCs w:val="17"/>
          <w:lang w:val="en-US"/>
        </w:rPr>
        <w:t>if and when</w:t>
      </w:r>
      <w:proofErr w:type="gramEnd"/>
      <w:r w:rsidRPr="00606AC6">
        <w:rPr>
          <w:rFonts w:eastAsia="Malgun Gothic"/>
          <w:sz w:val="17"/>
          <w:szCs w:val="17"/>
          <w:lang w:val="en-US"/>
        </w:rPr>
        <w:t xml:space="preserve"> </w:t>
      </w:r>
      <w:proofErr w:type="spellStart"/>
      <w:r w:rsidRPr="00606AC6">
        <w:rPr>
          <w:rFonts w:eastAsia="Malgun Gothic"/>
          <w:sz w:val="17"/>
          <w:szCs w:val="17"/>
          <w:lang w:val="en-US"/>
        </w:rPr>
        <w:t>gNB</w:t>
      </w:r>
      <w:proofErr w:type="spellEnd"/>
      <w:r w:rsidRPr="00606AC6">
        <w:rPr>
          <w:rFonts w:eastAsia="Malgun Gothic"/>
          <w:sz w:val="17"/>
          <w:szCs w:val="17"/>
          <w:lang w:val="en-US"/>
        </w:rPr>
        <w:t xml:space="preserve"> informs to the UE to assume the same precoder over multiple REG bundles</w:t>
      </w:r>
    </w:p>
    <w:p w14:paraId="2967F176" w14:textId="1C2E46FD" w:rsidR="00E74104" w:rsidRPr="009502A9" w:rsidRDefault="00E74104" w:rsidP="00E74104">
      <w:pPr>
        <w:spacing w:after="0"/>
        <w:rPr>
          <w:rFonts w:eastAsia="MS Mincho"/>
          <w:b/>
          <w:sz w:val="17"/>
          <w:szCs w:val="17"/>
          <w:lang w:val="en-US" w:eastAsia="ja-JP"/>
        </w:rPr>
      </w:pPr>
      <w:r w:rsidRPr="009502A9">
        <w:rPr>
          <w:rFonts w:eastAsia="MS Mincho"/>
          <w:b/>
          <w:sz w:val="17"/>
          <w:szCs w:val="17"/>
          <w:highlight w:val="green"/>
          <w:u w:val="single"/>
          <w:lang w:val="en-US" w:eastAsia="ja-JP"/>
        </w:rPr>
        <w:t>Agreements:</w:t>
      </w:r>
    </w:p>
    <w:p w14:paraId="23DC28ED" w14:textId="77777777" w:rsidR="00606AC6" w:rsidRPr="00606AC6" w:rsidRDefault="00606AC6" w:rsidP="00606AC6">
      <w:pPr>
        <w:pStyle w:val="ListParagraph"/>
        <w:numPr>
          <w:ilvl w:val="0"/>
          <w:numId w:val="3"/>
        </w:numPr>
        <w:rPr>
          <w:rFonts w:eastAsia="MS Mincho"/>
          <w:sz w:val="17"/>
          <w:szCs w:val="17"/>
          <w:lang w:val="en-US" w:eastAsia="ja-JP"/>
        </w:rPr>
      </w:pPr>
      <w:r w:rsidRPr="00606AC6">
        <w:rPr>
          <w:rFonts w:eastAsia="MS Mincho"/>
          <w:sz w:val="17"/>
          <w:szCs w:val="17"/>
          <w:lang w:val="en-US" w:eastAsia="ja-JP"/>
        </w:rPr>
        <w:t>For interleaving CORESET, the interleaving pattern is derived by the CORESET configuration and is not dependent on other CORESET configuration.</w:t>
      </w:r>
    </w:p>
    <w:p w14:paraId="501AD00F" w14:textId="77777777" w:rsidR="00606AC6" w:rsidRPr="00606AC6" w:rsidRDefault="00606AC6" w:rsidP="00606AC6">
      <w:pPr>
        <w:pStyle w:val="ListParagraph"/>
        <w:numPr>
          <w:ilvl w:val="0"/>
          <w:numId w:val="3"/>
        </w:numPr>
        <w:rPr>
          <w:rFonts w:eastAsia="MS Mincho"/>
          <w:sz w:val="17"/>
          <w:szCs w:val="17"/>
          <w:lang w:val="en-US" w:eastAsia="ja-JP"/>
        </w:rPr>
      </w:pPr>
      <w:r w:rsidRPr="00606AC6">
        <w:rPr>
          <w:rFonts w:eastAsia="MS Mincho"/>
          <w:sz w:val="17"/>
          <w:szCs w:val="17"/>
          <w:lang w:val="en-US" w:eastAsia="ja-JP"/>
        </w:rPr>
        <w:t>Note: Following metrics can be considered</w:t>
      </w:r>
    </w:p>
    <w:p w14:paraId="2FAC9FA0" w14:textId="77777777" w:rsidR="00606AC6" w:rsidRPr="00606AC6" w:rsidRDefault="00606AC6" w:rsidP="00606AC6">
      <w:pPr>
        <w:pStyle w:val="ListParagraph"/>
        <w:numPr>
          <w:ilvl w:val="1"/>
          <w:numId w:val="3"/>
        </w:numPr>
        <w:rPr>
          <w:rFonts w:eastAsia="MS Mincho"/>
          <w:sz w:val="17"/>
          <w:szCs w:val="17"/>
          <w:lang w:val="en-US" w:eastAsia="ja-JP"/>
        </w:rPr>
      </w:pPr>
      <w:r w:rsidRPr="00606AC6">
        <w:rPr>
          <w:rFonts w:eastAsia="MS Mincho"/>
          <w:sz w:val="17"/>
          <w:szCs w:val="17"/>
          <w:lang w:val="en-US" w:eastAsia="ja-JP"/>
        </w:rPr>
        <w:t>Good frequency distribution of REG bundles within the CORESET</w:t>
      </w:r>
    </w:p>
    <w:p w14:paraId="0C747E3E" w14:textId="77777777" w:rsidR="00606AC6" w:rsidRPr="00606AC6" w:rsidRDefault="00606AC6" w:rsidP="00606AC6">
      <w:pPr>
        <w:pStyle w:val="ListParagraph"/>
        <w:numPr>
          <w:ilvl w:val="1"/>
          <w:numId w:val="3"/>
        </w:numPr>
        <w:rPr>
          <w:rFonts w:eastAsia="MS Mincho"/>
          <w:sz w:val="17"/>
          <w:szCs w:val="17"/>
          <w:lang w:val="en-US" w:eastAsia="ja-JP"/>
        </w:rPr>
      </w:pPr>
      <w:r w:rsidRPr="00606AC6">
        <w:rPr>
          <w:rFonts w:eastAsia="MS Mincho"/>
          <w:sz w:val="17"/>
          <w:szCs w:val="17"/>
          <w:lang w:val="en-US" w:eastAsia="ja-JP"/>
        </w:rPr>
        <w:t>Blocking probability for potential overlapped CORESET(s)</w:t>
      </w:r>
    </w:p>
    <w:p w14:paraId="179D863B" w14:textId="6C1BBE14" w:rsidR="00E74104" w:rsidRDefault="00606AC6" w:rsidP="00606AC6">
      <w:pPr>
        <w:pStyle w:val="ListParagraph"/>
        <w:numPr>
          <w:ilvl w:val="1"/>
          <w:numId w:val="3"/>
        </w:numPr>
        <w:rPr>
          <w:rFonts w:eastAsia="MS Mincho"/>
          <w:sz w:val="17"/>
          <w:szCs w:val="17"/>
          <w:lang w:val="en-US" w:eastAsia="ja-JP"/>
        </w:rPr>
      </w:pPr>
      <w:r w:rsidRPr="00606AC6">
        <w:rPr>
          <w:rFonts w:eastAsia="MS Mincho"/>
          <w:sz w:val="17"/>
          <w:szCs w:val="17"/>
          <w:lang w:val="en-US" w:eastAsia="ja-JP"/>
        </w:rPr>
        <w:t>Inter-cell/inter-TRP interference randomization</w:t>
      </w:r>
    </w:p>
    <w:p w14:paraId="5AB91686" w14:textId="0A1A6899" w:rsidR="00E74104" w:rsidRPr="000479CE" w:rsidRDefault="00E74104" w:rsidP="00066EE0">
      <w:pPr>
        <w:spacing w:after="0"/>
        <w:rPr>
          <w:rFonts w:eastAsia="MS Mincho"/>
          <w:sz w:val="10"/>
          <w:szCs w:val="17"/>
          <w:lang w:val="en-US" w:eastAsia="ja-JP"/>
        </w:rPr>
      </w:pPr>
    </w:p>
    <w:p w14:paraId="44874BD9" w14:textId="36661BA5" w:rsidR="00E74104" w:rsidRPr="009502A9" w:rsidRDefault="00E74104" w:rsidP="00E74104">
      <w:pPr>
        <w:spacing w:after="0"/>
        <w:rPr>
          <w:rFonts w:eastAsia="MS Mincho"/>
          <w:b/>
          <w:sz w:val="17"/>
          <w:szCs w:val="17"/>
          <w:lang w:val="en-US" w:eastAsia="ja-JP"/>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p>
    <w:p w14:paraId="2302CF82" w14:textId="77777777" w:rsidR="00606AC6" w:rsidRPr="00606AC6" w:rsidRDefault="00606AC6" w:rsidP="00606AC6">
      <w:pPr>
        <w:pStyle w:val="ListParagraph"/>
        <w:numPr>
          <w:ilvl w:val="0"/>
          <w:numId w:val="3"/>
        </w:numPr>
        <w:rPr>
          <w:rFonts w:eastAsia="MS Mincho"/>
          <w:sz w:val="17"/>
          <w:szCs w:val="17"/>
          <w:lang w:val="en-US" w:eastAsia="ja-JP"/>
        </w:rPr>
      </w:pPr>
      <w:r w:rsidRPr="00606AC6">
        <w:rPr>
          <w:rFonts w:eastAsia="MS Mincho"/>
          <w:sz w:val="17"/>
          <w:szCs w:val="17"/>
          <w:lang w:val="en-US" w:eastAsia="ja-JP"/>
        </w:rPr>
        <w:t>DMRS density for a CORESET is down-selected between 1/3 or 1/4.</w:t>
      </w:r>
    </w:p>
    <w:p w14:paraId="0560361C" w14:textId="2522394D" w:rsidR="00E74104" w:rsidRDefault="00606AC6" w:rsidP="00606AC6">
      <w:pPr>
        <w:pStyle w:val="ListParagraph"/>
        <w:numPr>
          <w:ilvl w:val="1"/>
          <w:numId w:val="3"/>
        </w:numPr>
        <w:rPr>
          <w:rFonts w:eastAsia="MS Mincho"/>
          <w:sz w:val="17"/>
          <w:szCs w:val="17"/>
          <w:lang w:val="en-US" w:eastAsia="ja-JP"/>
        </w:rPr>
      </w:pPr>
      <w:r w:rsidRPr="00606AC6">
        <w:rPr>
          <w:rFonts w:eastAsia="MS Mincho"/>
          <w:sz w:val="17"/>
          <w:szCs w:val="17"/>
          <w:lang w:val="en-US" w:eastAsia="ja-JP"/>
        </w:rPr>
        <w:t>FFS: need of additional DMRS density.</w:t>
      </w:r>
    </w:p>
    <w:p w14:paraId="2CFCF48C" w14:textId="77777777" w:rsidR="000479CE" w:rsidRDefault="000479CE" w:rsidP="000479CE">
      <w:pPr>
        <w:pStyle w:val="ListParagraph"/>
        <w:ind w:left="1440"/>
        <w:rPr>
          <w:rFonts w:eastAsia="MS Mincho"/>
          <w:sz w:val="17"/>
          <w:szCs w:val="17"/>
          <w:lang w:val="en-US" w:eastAsia="ja-JP"/>
        </w:rPr>
      </w:pPr>
    </w:p>
    <w:p w14:paraId="7F41A61E" w14:textId="77777777" w:rsidR="00455B17" w:rsidRPr="00606AC6" w:rsidRDefault="00455B17" w:rsidP="00606AC6">
      <w:pPr>
        <w:spacing w:after="0"/>
        <w:rPr>
          <w:rFonts w:eastAsia="MS Mincho"/>
          <w:sz w:val="17"/>
          <w:szCs w:val="17"/>
          <w:highlight w:val="darkYellow"/>
        </w:rPr>
      </w:pPr>
      <w:r w:rsidRPr="00606AC6">
        <w:rPr>
          <w:rFonts w:eastAsia="MS Mincho"/>
          <w:sz w:val="17"/>
          <w:szCs w:val="17"/>
          <w:highlight w:val="darkYellow"/>
        </w:rPr>
        <w:t>Working assumption:</w:t>
      </w:r>
    </w:p>
    <w:p w14:paraId="03F82BA5" w14:textId="77777777" w:rsidR="00606AC6" w:rsidRPr="00606AC6" w:rsidRDefault="00606AC6" w:rsidP="00606AC6">
      <w:pPr>
        <w:pStyle w:val="ListParagraph"/>
        <w:numPr>
          <w:ilvl w:val="0"/>
          <w:numId w:val="6"/>
        </w:numPr>
        <w:rPr>
          <w:rFonts w:eastAsia="MS Mincho"/>
          <w:sz w:val="17"/>
          <w:szCs w:val="17"/>
          <w:lang w:val="en-US" w:eastAsia="ja-JP"/>
        </w:rPr>
      </w:pPr>
      <w:r w:rsidRPr="00606AC6">
        <w:rPr>
          <w:rFonts w:eastAsia="MS Mincho"/>
          <w:sz w:val="17"/>
          <w:szCs w:val="17"/>
          <w:lang w:val="en-US" w:eastAsia="ja-JP"/>
        </w:rPr>
        <w:t>DM-RS density per REG is 1/4 at least for normal CP.</w:t>
      </w:r>
    </w:p>
    <w:p w14:paraId="62AF1748" w14:textId="77777777" w:rsidR="00606AC6" w:rsidRPr="00606AC6" w:rsidRDefault="00606AC6" w:rsidP="00606AC6">
      <w:pPr>
        <w:pStyle w:val="ListParagraph"/>
        <w:numPr>
          <w:ilvl w:val="1"/>
          <w:numId w:val="6"/>
        </w:numPr>
        <w:rPr>
          <w:rFonts w:eastAsia="MS Mincho"/>
          <w:sz w:val="17"/>
          <w:szCs w:val="17"/>
          <w:lang w:val="en-US" w:eastAsia="ja-JP"/>
        </w:rPr>
      </w:pPr>
      <w:r w:rsidRPr="00606AC6">
        <w:rPr>
          <w:rFonts w:eastAsia="MS Mincho"/>
          <w:sz w:val="17"/>
          <w:szCs w:val="17"/>
          <w:lang w:val="en-US" w:eastAsia="ja-JP"/>
        </w:rPr>
        <w:t>FFS: orthogonal DMRS for MU-MIMO at RAN1 NR AH#3.</w:t>
      </w:r>
    </w:p>
    <w:p w14:paraId="721D03CA" w14:textId="77777777" w:rsidR="00606AC6" w:rsidRPr="00606AC6" w:rsidRDefault="00606AC6" w:rsidP="00606AC6">
      <w:pPr>
        <w:pStyle w:val="ListParagraph"/>
        <w:numPr>
          <w:ilvl w:val="1"/>
          <w:numId w:val="6"/>
        </w:numPr>
        <w:rPr>
          <w:rFonts w:eastAsia="MS Mincho"/>
          <w:sz w:val="17"/>
          <w:szCs w:val="17"/>
          <w:lang w:val="en-US" w:eastAsia="ja-JP"/>
        </w:rPr>
      </w:pPr>
      <w:r w:rsidRPr="00606AC6">
        <w:rPr>
          <w:rFonts w:eastAsia="MS Mincho"/>
          <w:sz w:val="17"/>
          <w:szCs w:val="17"/>
          <w:lang w:val="en-US" w:eastAsia="ja-JP"/>
        </w:rPr>
        <w:t>FFS: URLLC</w:t>
      </w:r>
    </w:p>
    <w:p w14:paraId="10FD11CC" w14:textId="2FC6F951" w:rsidR="00062630" w:rsidRDefault="00062630" w:rsidP="00062630">
      <w:pPr>
        <w:pStyle w:val="Heading1"/>
      </w:pPr>
      <w:r>
        <w:rPr>
          <w:color w:val="000000"/>
        </w:rPr>
        <w:t>2</w:t>
      </w:r>
      <w:r w:rsidRPr="00A51522">
        <w:rPr>
          <w:color w:val="000000"/>
        </w:rPr>
        <w:tab/>
      </w:r>
      <w:proofErr w:type="spellStart"/>
      <w:r w:rsidR="000479CE">
        <w:t>Interleaver</w:t>
      </w:r>
      <w:proofErr w:type="spellEnd"/>
      <w:r w:rsidR="000479CE">
        <w:t xml:space="preserve"> pattern</w:t>
      </w:r>
    </w:p>
    <w:p w14:paraId="37D60EB4" w14:textId="044508E5" w:rsidR="004C3AE2" w:rsidRDefault="004C3AE2" w:rsidP="004C3AE2">
      <w:pPr>
        <w:spacing w:after="120"/>
        <w:jc w:val="both"/>
      </w:pPr>
      <w:r>
        <w:t xml:space="preserve">Table 1 shows the current RAN1 agreements related to REG bundle size. </w:t>
      </w:r>
    </w:p>
    <w:p w14:paraId="29FEEC14" w14:textId="0AF2CBC1" w:rsidR="004C3AE2" w:rsidRDefault="004C3AE2" w:rsidP="004C3AE2">
      <w:pPr>
        <w:spacing w:after="120"/>
        <w:jc w:val="both"/>
      </w:pPr>
      <w:r>
        <w:t xml:space="preserve">    Table </w:t>
      </w:r>
      <w:r>
        <w:fldChar w:fldCharType="begin"/>
      </w:r>
      <w:r>
        <w:instrText xml:space="preserve"> SEQ Table \* ARABIC </w:instrText>
      </w:r>
      <w:r>
        <w:fldChar w:fldCharType="separate"/>
      </w:r>
      <w:r>
        <w:rPr>
          <w:noProof/>
        </w:rPr>
        <w:t>1</w:t>
      </w:r>
      <w:r>
        <w:fldChar w:fldCharType="end"/>
      </w:r>
      <w:r>
        <w:t>. REG bundle sizes:</w:t>
      </w:r>
    </w:p>
    <w:tbl>
      <w:tblPr>
        <w:tblStyle w:val="TableGrid"/>
        <w:tblW w:w="0" w:type="auto"/>
        <w:jc w:val="center"/>
        <w:tblLook w:val="04A0" w:firstRow="1" w:lastRow="0" w:firstColumn="1" w:lastColumn="0" w:noHBand="0" w:noVBand="1"/>
      </w:tblPr>
      <w:tblGrid>
        <w:gridCol w:w="2405"/>
        <w:gridCol w:w="3119"/>
        <w:gridCol w:w="2835"/>
      </w:tblGrid>
      <w:tr w:rsidR="004C3AE2" w:rsidRPr="001B10F3" w14:paraId="57F344E0" w14:textId="77777777" w:rsidTr="00E90993">
        <w:trPr>
          <w:jc w:val="center"/>
        </w:trPr>
        <w:tc>
          <w:tcPr>
            <w:tcW w:w="2405" w:type="dxa"/>
          </w:tcPr>
          <w:p w14:paraId="33B38931" w14:textId="77777777" w:rsidR="004C3AE2" w:rsidRPr="00066EE0" w:rsidRDefault="004C3AE2" w:rsidP="00E90993">
            <w:pPr>
              <w:spacing w:after="0"/>
              <w:jc w:val="center"/>
              <w:rPr>
                <w:bCs/>
                <w:sz w:val="18"/>
              </w:rPr>
            </w:pPr>
            <w:r w:rsidRPr="00066EE0">
              <w:rPr>
                <w:bCs/>
                <w:sz w:val="18"/>
              </w:rPr>
              <w:t>CORESET length (#symbols)</w:t>
            </w:r>
          </w:p>
        </w:tc>
        <w:tc>
          <w:tcPr>
            <w:tcW w:w="3119" w:type="dxa"/>
          </w:tcPr>
          <w:p w14:paraId="09A2F30C" w14:textId="77777777" w:rsidR="004C3AE2" w:rsidRDefault="004C3AE2" w:rsidP="00E90993">
            <w:pPr>
              <w:spacing w:after="0"/>
              <w:jc w:val="center"/>
              <w:rPr>
                <w:bCs/>
                <w:sz w:val="18"/>
              </w:rPr>
            </w:pPr>
            <w:r>
              <w:rPr>
                <w:bCs/>
                <w:sz w:val="18"/>
              </w:rPr>
              <w:t xml:space="preserve">Non-interleaved mapping </w:t>
            </w:r>
          </w:p>
          <w:p w14:paraId="4B52C975" w14:textId="77777777" w:rsidR="004C3AE2" w:rsidRPr="00066EE0" w:rsidRDefault="004C3AE2" w:rsidP="00E90993">
            <w:pPr>
              <w:spacing w:after="0"/>
              <w:jc w:val="center"/>
              <w:rPr>
                <w:bCs/>
                <w:sz w:val="18"/>
              </w:rPr>
            </w:pPr>
            <w:r>
              <w:rPr>
                <w:bCs/>
                <w:sz w:val="18"/>
              </w:rPr>
              <w:t>(REG bundle: frequency x time)</w:t>
            </w:r>
          </w:p>
        </w:tc>
        <w:tc>
          <w:tcPr>
            <w:tcW w:w="2835" w:type="dxa"/>
          </w:tcPr>
          <w:p w14:paraId="42076CE3" w14:textId="77777777" w:rsidR="004C3AE2" w:rsidRDefault="004C3AE2" w:rsidP="00E90993">
            <w:pPr>
              <w:spacing w:after="0"/>
              <w:jc w:val="center"/>
              <w:rPr>
                <w:bCs/>
                <w:sz w:val="18"/>
              </w:rPr>
            </w:pPr>
            <w:r w:rsidRPr="00066EE0">
              <w:rPr>
                <w:bCs/>
                <w:sz w:val="18"/>
              </w:rPr>
              <w:t>Interleaved mapping</w:t>
            </w:r>
          </w:p>
          <w:p w14:paraId="31E92312" w14:textId="77777777" w:rsidR="004C3AE2" w:rsidRPr="00066EE0" w:rsidRDefault="004C3AE2" w:rsidP="00E90993">
            <w:pPr>
              <w:spacing w:after="0"/>
              <w:jc w:val="center"/>
              <w:rPr>
                <w:bCs/>
                <w:sz w:val="18"/>
              </w:rPr>
            </w:pPr>
            <w:r>
              <w:rPr>
                <w:bCs/>
                <w:sz w:val="18"/>
              </w:rPr>
              <w:t>(REG bundle: frequency x time)</w:t>
            </w:r>
          </w:p>
        </w:tc>
      </w:tr>
      <w:tr w:rsidR="004C3AE2" w:rsidRPr="001B10F3" w14:paraId="073B2B46" w14:textId="77777777" w:rsidTr="00E90993">
        <w:trPr>
          <w:jc w:val="center"/>
        </w:trPr>
        <w:tc>
          <w:tcPr>
            <w:tcW w:w="2405" w:type="dxa"/>
          </w:tcPr>
          <w:p w14:paraId="2AA62F53" w14:textId="77777777" w:rsidR="004C3AE2" w:rsidRPr="00066EE0" w:rsidRDefault="004C3AE2" w:rsidP="00E90993">
            <w:pPr>
              <w:spacing w:after="0"/>
              <w:jc w:val="center"/>
              <w:rPr>
                <w:bCs/>
                <w:sz w:val="18"/>
              </w:rPr>
            </w:pPr>
            <w:r w:rsidRPr="00066EE0">
              <w:rPr>
                <w:bCs/>
                <w:sz w:val="18"/>
              </w:rPr>
              <w:t>1</w:t>
            </w:r>
          </w:p>
        </w:tc>
        <w:tc>
          <w:tcPr>
            <w:tcW w:w="3119" w:type="dxa"/>
          </w:tcPr>
          <w:p w14:paraId="447256D9" w14:textId="77777777" w:rsidR="004C3AE2" w:rsidRPr="004C3AE2" w:rsidRDefault="004C3AE2" w:rsidP="00E90993">
            <w:pPr>
              <w:spacing w:after="0"/>
              <w:jc w:val="center"/>
              <w:rPr>
                <w:bCs/>
                <w:sz w:val="18"/>
              </w:rPr>
            </w:pPr>
            <w:r w:rsidRPr="004C3AE2">
              <w:rPr>
                <w:bCs/>
                <w:sz w:val="18"/>
              </w:rPr>
              <w:t xml:space="preserve">6 </w:t>
            </w:r>
            <w:r w:rsidRPr="004C3AE2">
              <w:rPr>
                <w:bCs/>
                <w:i/>
                <w:sz w:val="18"/>
              </w:rPr>
              <w:t>(6x1)</w:t>
            </w:r>
          </w:p>
        </w:tc>
        <w:tc>
          <w:tcPr>
            <w:tcW w:w="2835" w:type="dxa"/>
          </w:tcPr>
          <w:p w14:paraId="717A988C" w14:textId="77777777" w:rsidR="004C3AE2" w:rsidRPr="004C3AE2" w:rsidRDefault="004C3AE2" w:rsidP="00E90993">
            <w:pPr>
              <w:spacing w:after="0"/>
              <w:jc w:val="center"/>
              <w:rPr>
                <w:bCs/>
                <w:i/>
                <w:sz w:val="18"/>
              </w:rPr>
            </w:pPr>
            <w:r w:rsidRPr="004C3AE2">
              <w:rPr>
                <w:bCs/>
                <w:sz w:val="18"/>
              </w:rPr>
              <w:t xml:space="preserve">2 </w:t>
            </w:r>
            <w:r w:rsidRPr="004C3AE2">
              <w:rPr>
                <w:bCs/>
                <w:i/>
                <w:sz w:val="18"/>
              </w:rPr>
              <w:t>(2x1), 6</w:t>
            </w:r>
            <w:r w:rsidRPr="004C3AE2">
              <w:rPr>
                <w:bCs/>
                <w:sz w:val="18"/>
              </w:rPr>
              <w:t xml:space="preserve"> </w:t>
            </w:r>
            <w:r w:rsidRPr="004C3AE2">
              <w:rPr>
                <w:bCs/>
                <w:i/>
                <w:sz w:val="18"/>
              </w:rPr>
              <w:t>(6x1)</w:t>
            </w:r>
          </w:p>
        </w:tc>
      </w:tr>
      <w:tr w:rsidR="004C3AE2" w:rsidRPr="001B10F3" w14:paraId="15294097" w14:textId="77777777" w:rsidTr="00E90993">
        <w:trPr>
          <w:jc w:val="center"/>
        </w:trPr>
        <w:tc>
          <w:tcPr>
            <w:tcW w:w="2405" w:type="dxa"/>
          </w:tcPr>
          <w:p w14:paraId="03F7CC03" w14:textId="77777777" w:rsidR="004C3AE2" w:rsidRPr="00066EE0" w:rsidRDefault="004C3AE2" w:rsidP="00E90993">
            <w:pPr>
              <w:spacing w:after="0"/>
              <w:jc w:val="center"/>
              <w:rPr>
                <w:bCs/>
                <w:sz w:val="18"/>
              </w:rPr>
            </w:pPr>
            <w:r w:rsidRPr="00066EE0">
              <w:rPr>
                <w:bCs/>
                <w:sz w:val="18"/>
              </w:rPr>
              <w:t>2</w:t>
            </w:r>
          </w:p>
        </w:tc>
        <w:tc>
          <w:tcPr>
            <w:tcW w:w="3119" w:type="dxa"/>
          </w:tcPr>
          <w:p w14:paraId="545A4FAD" w14:textId="77777777" w:rsidR="004C3AE2" w:rsidRPr="004C3AE2" w:rsidRDefault="004C3AE2" w:rsidP="00E90993">
            <w:pPr>
              <w:spacing w:after="0"/>
              <w:jc w:val="center"/>
              <w:rPr>
                <w:bCs/>
                <w:i/>
                <w:sz w:val="18"/>
              </w:rPr>
            </w:pPr>
            <w:r w:rsidRPr="004C3AE2">
              <w:rPr>
                <w:bCs/>
                <w:sz w:val="18"/>
              </w:rPr>
              <w:t xml:space="preserve">6 </w:t>
            </w:r>
            <w:r w:rsidRPr="004C3AE2">
              <w:rPr>
                <w:bCs/>
                <w:i/>
                <w:sz w:val="18"/>
              </w:rPr>
              <w:t>(3x2)</w:t>
            </w:r>
          </w:p>
        </w:tc>
        <w:tc>
          <w:tcPr>
            <w:tcW w:w="2835" w:type="dxa"/>
          </w:tcPr>
          <w:p w14:paraId="27AF8FB8" w14:textId="77777777" w:rsidR="004C3AE2" w:rsidRPr="004C3AE2" w:rsidRDefault="004C3AE2" w:rsidP="00E90993">
            <w:pPr>
              <w:spacing w:after="0"/>
              <w:jc w:val="center"/>
              <w:rPr>
                <w:bCs/>
                <w:i/>
                <w:sz w:val="18"/>
              </w:rPr>
            </w:pPr>
            <w:r w:rsidRPr="004C3AE2">
              <w:rPr>
                <w:bCs/>
                <w:sz w:val="18"/>
              </w:rPr>
              <w:t xml:space="preserve">2 </w:t>
            </w:r>
            <w:r w:rsidRPr="004C3AE2">
              <w:rPr>
                <w:bCs/>
                <w:i/>
                <w:sz w:val="18"/>
              </w:rPr>
              <w:t>(1x2), 6</w:t>
            </w:r>
            <w:r w:rsidRPr="004C3AE2">
              <w:rPr>
                <w:bCs/>
                <w:sz w:val="18"/>
              </w:rPr>
              <w:t xml:space="preserve"> </w:t>
            </w:r>
            <w:r w:rsidRPr="004C3AE2">
              <w:rPr>
                <w:bCs/>
                <w:i/>
                <w:sz w:val="18"/>
              </w:rPr>
              <w:t>(3x2)</w:t>
            </w:r>
          </w:p>
        </w:tc>
      </w:tr>
      <w:tr w:rsidR="004C3AE2" w:rsidRPr="001B10F3" w14:paraId="033DB371" w14:textId="77777777" w:rsidTr="00E90993">
        <w:trPr>
          <w:jc w:val="center"/>
        </w:trPr>
        <w:tc>
          <w:tcPr>
            <w:tcW w:w="2405" w:type="dxa"/>
          </w:tcPr>
          <w:p w14:paraId="6A9FA3EA" w14:textId="77777777" w:rsidR="004C3AE2" w:rsidRPr="00066EE0" w:rsidRDefault="004C3AE2" w:rsidP="00E90993">
            <w:pPr>
              <w:spacing w:after="0"/>
              <w:jc w:val="center"/>
              <w:rPr>
                <w:bCs/>
                <w:sz w:val="18"/>
              </w:rPr>
            </w:pPr>
            <w:r w:rsidRPr="00066EE0">
              <w:rPr>
                <w:bCs/>
                <w:sz w:val="18"/>
              </w:rPr>
              <w:t>3</w:t>
            </w:r>
          </w:p>
        </w:tc>
        <w:tc>
          <w:tcPr>
            <w:tcW w:w="3119" w:type="dxa"/>
          </w:tcPr>
          <w:p w14:paraId="096037A8" w14:textId="77777777" w:rsidR="004C3AE2" w:rsidRPr="004C3AE2" w:rsidRDefault="004C3AE2" w:rsidP="00E90993">
            <w:pPr>
              <w:spacing w:after="0"/>
              <w:jc w:val="center"/>
              <w:rPr>
                <w:bCs/>
                <w:i/>
                <w:sz w:val="18"/>
              </w:rPr>
            </w:pPr>
            <w:r w:rsidRPr="004C3AE2">
              <w:rPr>
                <w:bCs/>
                <w:sz w:val="18"/>
              </w:rPr>
              <w:t xml:space="preserve">6 </w:t>
            </w:r>
            <w:r w:rsidRPr="004C3AE2">
              <w:rPr>
                <w:bCs/>
                <w:i/>
                <w:sz w:val="18"/>
              </w:rPr>
              <w:t>(2x3)</w:t>
            </w:r>
          </w:p>
        </w:tc>
        <w:tc>
          <w:tcPr>
            <w:tcW w:w="2835" w:type="dxa"/>
          </w:tcPr>
          <w:p w14:paraId="4B43CDDF" w14:textId="77777777" w:rsidR="004C3AE2" w:rsidRPr="004C3AE2" w:rsidRDefault="004C3AE2" w:rsidP="00E90993">
            <w:pPr>
              <w:spacing w:after="0"/>
              <w:jc w:val="center"/>
              <w:rPr>
                <w:bCs/>
                <w:i/>
                <w:sz w:val="18"/>
              </w:rPr>
            </w:pPr>
            <w:r w:rsidRPr="004C3AE2">
              <w:rPr>
                <w:bCs/>
                <w:sz w:val="18"/>
              </w:rPr>
              <w:t xml:space="preserve">3 </w:t>
            </w:r>
            <w:r w:rsidRPr="004C3AE2">
              <w:rPr>
                <w:bCs/>
                <w:i/>
                <w:sz w:val="18"/>
              </w:rPr>
              <w:t>(1x3), 6</w:t>
            </w:r>
            <w:r w:rsidRPr="004C3AE2">
              <w:rPr>
                <w:bCs/>
                <w:sz w:val="18"/>
              </w:rPr>
              <w:t xml:space="preserve"> </w:t>
            </w:r>
            <w:r w:rsidRPr="004C3AE2">
              <w:rPr>
                <w:bCs/>
                <w:i/>
                <w:sz w:val="18"/>
              </w:rPr>
              <w:t>(2x3)</w:t>
            </w:r>
          </w:p>
        </w:tc>
      </w:tr>
    </w:tbl>
    <w:p w14:paraId="707A0AC1" w14:textId="13304569" w:rsidR="004C3AE2" w:rsidRDefault="004C3AE2" w:rsidP="008F4CF7"/>
    <w:p w14:paraId="0D84B9BC" w14:textId="77777777" w:rsidR="004C3AE2" w:rsidRDefault="004C3AE2" w:rsidP="008F4CF7"/>
    <w:p w14:paraId="3A862F65" w14:textId="48D4FB99" w:rsidR="005D07AE" w:rsidRDefault="004C3AE2" w:rsidP="005D07AE">
      <w:r>
        <w:lastRenderedPageBreak/>
        <w:t>One of the open issues related to PDCCH construction is how to interleave REG bundles in the frequency domain.</w:t>
      </w:r>
      <w:r w:rsidR="005D07AE">
        <w:t xml:space="preserve"> Based on the agreement made in RAN1#90, “</w:t>
      </w:r>
      <w:r w:rsidR="005D07AE" w:rsidRPr="004C3AE2">
        <w:t>Interleaving operates on REG bundles</w:t>
      </w:r>
      <w:r w:rsidR="005D07AE">
        <w:t xml:space="preserve">”.   </w:t>
      </w:r>
    </w:p>
    <w:p w14:paraId="72DDF8C5" w14:textId="39F4CE63" w:rsidR="002A7D9C" w:rsidRDefault="005D07AE" w:rsidP="002A7D9C">
      <w:r>
        <w:t xml:space="preserve">Figure 1 – Figure 3 show the proposed </w:t>
      </w:r>
      <w:proofErr w:type="spellStart"/>
      <w:r>
        <w:t>interleaver</w:t>
      </w:r>
      <w:proofErr w:type="spellEnd"/>
      <w:r>
        <w:t xml:space="preserve"> for REG bundle sizes 2, 3 and 6. We propose a simple block </w:t>
      </w:r>
      <w:proofErr w:type="spellStart"/>
      <w:r>
        <w:t>interleaver</w:t>
      </w:r>
      <w:proofErr w:type="spellEnd"/>
      <w:r>
        <w:t xml:space="preserve"> where REG bundle indexes are written in row-wise, and read in column wise. In the proposed approach, the number of rows in the </w:t>
      </w:r>
      <w:proofErr w:type="spellStart"/>
      <w:r w:rsidR="002A7D9C">
        <w:t>interleaver</w:t>
      </w:r>
      <w:proofErr w:type="spellEnd"/>
      <w:r>
        <w:t xml:space="preserve"> matrix </w:t>
      </w:r>
      <w:r w:rsidR="002A7D9C">
        <w:t xml:space="preserve">is 2 with REG bundle sizes [3, 6], and 3 with REG bundle size 2, respectively. </w:t>
      </w:r>
      <w:r w:rsidR="00B022D6">
        <w:t xml:space="preserve">The number of columns in the </w:t>
      </w:r>
      <w:proofErr w:type="spellStart"/>
      <w:r w:rsidR="00B022D6">
        <w:t>interleaver</w:t>
      </w:r>
      <w:proofErr w:type="spellEnd"/>
      <w:r w:rsidR="00B022D6">
        <w:t xml:space="preserve"> matrix depends on the size of CORESET. It can be calculated as: (</w:t>
      </w:r>
      <w:r w:rsidR="00B022D6">
        <w:rPr>
          <w:i/>
        </w:rPr>
        <w:t># of CCEs</w:t>
      </w:r>
      <w:r w:rsidR="00B022D6">
        <w:t>*6)</w:t>
      </w:r>
      <w:proofErr w:type="gramStart"/>
      <w:r w:rsidR="00B022D6">
        <w:t>/(</w:t>
      </w:r>
      <w:proofErr w:type="gramEnd"/>
      <w:r w:rsidR="00B022D6">
        <w:t xml:space="preserve">REG bundle size*number of rows in the </w:t>
      </w:r>
      <w:proofErr w:type="spellStart"/>
      <w:r w:rsidR="00B022D6">
        <w:t>interleaver</w:t>
      </w:r>
      <w:proofErr w:type="spellEnd"/>
      <w:r w:rsidR="00B022D6">
        <w:t xml:space="preserve"> matrix).</w:t>
      </w:r>
      <w:r w:rsidR="002A7D9C">
        <w:t xml:space="preserve"> </w:t>
      </w:r>
    </w:p>
    <w:p w14:paraId="03E2492A" w14:textId="4DC73E2E" w:rsidR="00E41E2F" w:rsidRDefault="00B022D6" w:rsidP="002A7D9C">
      <w:r>
        <w:t xml:space="preserve">Block </w:t>
      </w:r>
      <w:proofErr w:type="spellStart"/>
      <w:r>
        <w:t>interleaver</w:t>
      </w:r>
      <w:proofErr w:type="spellEnd"/>
      <w:r>
        <w:t xml:space="preserve"> approach will maximize the frequency diversity already with a small number of CCEs allocated.</w:t>
      </w:r>
      <w:r w:rsidR="00F81835">
        <w:t xml:space="preserve"> </w:t>
      </w:r>
      <w:r w:rsidR="00E41E2F">
        <w:t xml:space="preserve">We think that frequency diversity aspect should be prioritized when defining the REG bundle </w:t>
      </w:r>
      <w:proofErr w:type="spellStart"/>
      <w:r w:rsidR="00E41E2F">
        <w:t>interleaver</w:t>
      </w:r>
      <w:proofErr w:type="spellEnd"/>
      <w:r w:rsidR="00E41E2F">
        <w:t xml:space="preserve"> for NR PDCCH. Blocking issue related to potential overlapped CORESETs as well as inter-cell/inter-TRP interference randomization can be managed by means of proper CORESET configuration in </w:t>
      </w:r>
      <w:proofErr w:type="spellStart"/>
      <w:r w:rsidR="00E41E2F">
        <w:t>frequency&amp;time</w:t>
      </w:r>
      <w:proofErr w:type="spellEnd"/>
      <w:r w:rsidR="00E41E2F">
        <w:t xml:space="preserve">, as well as by means of </w:t>
      </w:r>
      <w:r w:rsidR="00F81835">
        <w:t>careful</w:t>
      </w:r>
      <w:r w:rsidR="00E41E2F">
        <w:t xml:space="preserve"> hashing function design. </w:t>
      </w:r>
    </w:p>
    <w:p w14:paraId="6B336518" w14:textId="2A76ECC6" w:rsidR="00E41E2F" w:rsidRDefault="00E41E2F" w:rsidP="00E41E2F">
      <w:pPr>
        <w:spacing w:after="120"/>
        <w:jc w:val="both"/>
        <w:rPr>
          <w:bCs/>
          <w:i/>
        </w:rPr>
      </w:pPr>
      <w:r>
        <w:rPr>
          <w:b/>
          <w:i/>
        </w:rPr>
        <w:t>Proposal</w:t>
      </w:r>
      <w:r w:rsidRPr="00367367">
        <w:rPr>
          <w:b/>
          <w:i/>
        </w:rPr>
        <w:t xml:space="preserve"> #</w:t>
      </w:r>
      <w:r>
        <w:rPr>
          <w:b/>
          <w:i/>
        </w:rPr>
        <w:t>1</w:t>
      </w:r>
      <w:r>
        <w:t>:</w:t>
      </w:r>
      <w:r>
        <w:rPr>
          <w:bCs/>
          <w:i/>
        </w:rPr>
        <w:t xml:space="preserve"> Adopt a block </w:t>
      </w:r>
      <w:proofErr w:type="spellStart"/>
      <w:r>
        <w:rPr>
          <w:bCs/>
          <w:i/>
        </w:rPr>
        <w:t>interleaver</w:t>
      </w:r>
      <w:proofErr w:type="spellEnd"/>
      <w:r>
        <w:rPr>
          <w:bCs/>
          <w:i/>
        </w:rPr>
        <w:t xml:space="preserve"> where REG bundle indexes are written in row-wise, and read in column wise</w:t>
      </w:r>
    </w:p>
    <w:p w14:paraId="435AB7CE" w14:textId="77777777" w:rsidR="00E41E2F" w:rsidRDefault="00E41E2F" w:rsidP="00E41E2F">
      <w:pPr>
        <w:spacing w:after="0"/>
        <w:jc w:val="both"/>
        <w:rPr>
          <w:bCs/>
          <w:i/>
        </w:rPr>
      </w:pPr>
      <w:r>
        <w:rPr>
          <w:b/>
          <w:i/>
        </w:rPr>
        <w:t>Proposal</w:t>
      </w:r>
      <w:r w:rsidRPr="00367367">
        <w:rPr>
          <w:b/>
          <w:i/>
        </w:rPr>
        <w:t xml:space="preserve"> #</w:t>
      </w:r>
      <w:r>
        <w:rPr>
          <w:b/>
          <w:i/>
        </w:rPr>
        <w:t>2</w:t>
      </w:r>
      <w:r>
        <w:t>:</w:t>
      </w:r>
      <w:r>
        <w:rPr>
          <w:bCs/>
          <w:i/>
        </w:rPr>
        <w:t xml:space="preserve"> T</w:t>
      </w:r>
      <w:r w:rsidRPr="00E41E2F">
        <w:rPr>
          <w:bCs/>
          <w:i/>
        </w:rPr>
        <w:t xml:space="preserve">he number of rows in the </w:t>
      </w:r>
      <w:proofErr w:type="spellStart"/>
      <w:r w:rsidRPr="00E41E2F">
        <w:rPr>
          <w:bCs/>
          <w:i/>
        </w:rPr>
        <w:t>interleaver</w:t>
      </w:r>
      <w:proofErr w:type="spellEnd"/>
      <w:r w:rsidRPr="00E41E2F">
        <w:rPr>
          <w:bCs/>
          <w:i/>
        </w:rPr>
        <w:t xml:space="preserve"> matrix is </w:t>
      </w:r>
    </w:p>
    <w:p w14:paraId="38B77D85" w14:textId="77777777" w:rsidR="00E41E2F" w:rsidRPr="00E41E2F" w:rsidRDefault="00E41E2F" w:rsidP="00E41E2F">
      <w:pPr>
        <w:pStyle w:val="ListParagraph"/>
        <w:numPr>
          <w:ilvl w:val="0"/>
          <w:numId w:val="10"/>
        </w:numPr>
        <w:spacing w:after="120"/>
        <w:jc w:val="both"/>
        <w:rPr>
          <w:bCs/>
          <w:i/>
          <w:sz w:val="20"/>
          <w:szCs w:val="20"/>
        </w:rPr>
      </w:pPr>
      <w:r w:rsidRPr="00E41E2F">
        <w:rPr>
          <w:bCs/>
          <w:i/>
          <w:sz w:val="20"/>
          <w:szCs w:val="20"/>
        </w:rPr>
        <w:t xml:space="preserve">2 </w:t>
      </w:r>
      <w:proofErr w:type="spellStart"/>
      <w:r w:rsidRPr="00E41E2F">
        <w:rPr>
          <w:bCs/>
          <w:i/>
          <w:sz w:val="20"/>
          <w:szCs w:val="20"/>
        </w:rPr>
        <w:t>with</w:t>
      </w:r>
      <w:proofErr w:type="spellEnd"/>
      <w:r w:rsidRPr="00E41E2F">
        <w:rPr>
          <w:bCs/>
          <w:i/>
          <w:sz w:val="20"/>
          <w:szCs w:val="20"/>
        </w:rPr>
        <w:t xml:space="preserve"> REG </w:t>
      </w:r>
      <w:proofErr w:type="spellStart"/>
      <w:r w:rsidRPr="00E41E2F">
        <w:rPr>
          <w:bCs/>
          <w:i/>
          <w:sz w:val="20"/>
          <w:szCs w:val="20"/>
        </w:rPr>
        <w:t>bundle</w:t>
      </w:r>
      <w:proofErr w:type="spellEnd"/>
      <w:r w:rsidRPr="00E41E2F">
        <w:rPr>
          <w:bCs/>
          <w:i/>
          <w:sz w:val="20"/>
          <w:szCs w:val="20"/>
        </w:rPr>
        <w:t xml:space="preserve"> </w:t>
      </w:r>
      <w:proofErr w:type="spellStart"/>
      <w:r w:rsidRPr="00E41E2F">
        <w:rPr>
          <w:bCs/>
          <w:i/>
          <w:sz w:val="20"/>
          <w:szCs w:val="20"/>
        </w:rPr>
        <w:t>sizes</w:t>
      </w:r>
      <w:proofErr w:type="spellEnd"/>
      <w:r w:rsidRPr="00E41E2F">
        <w:rPr>
          <w:bCs/>
          <w:i/>
          <w:sz w:val="20"/>
          <w:szCs w:val="20"/>
        </w:rPr>
        <w:t xml:space="preserve"> [3, 6]</w:t>
      </w:r>
    </w:p>
    <w:p w14:paraId="25401DFF" w14:textId="7441CEE2" w:rsidR="00E41E2F" w:rsidRDefault="00E41E2F" w:rsidP="00E41E2F">
      <w:pPr>
        <w:pStyle w:val="ListParagraph"/>
        <w:numPr>
          <w:ilvl w:val="0"/>
          <w:numId w:val="10"/>
        </w:numPr>
        <w:spacing w:after="120"/>
        <w:jc w:val="both"/>
        <w:rPr>
          <w:bCs/>
          <w:i/>
          <w:sz w:val="20"/>
          <w:szCs w:val="20"/>
        </w:rPr>
      </w:pPr>
      <w:r w:rsidRPr="00E41E2F">
        <w:rPr>
          <w:bCs/>
          <w:i/>
          <w:sz w:val="20"/>
          <w:szCs w:val="20"/>
        </w:rPr>
        <w:t xml:space="preserve">3 </w:t>
      </w:r>
      <w:proofErr w:type="spellStart"/>
      <w:r w:rsidRPr="00E41E2F">
        <w:rPr>
          <w:bCs/>
          <w:i/>
          <w:sz w:val="20"/>
          <w:szCs w:val="20"/>
        </w:rPr>
        <w:t>with</w:t>
      </w:r>
      <w:proofErr w:type="spellEnd"/>
      <w:r w:rsidRPr="00E41E2F">
        <w:rPr>
          <w:bCs/>
          <w:i/>
          <w:sz w:val="20"/>
          <w:szCs w:val="20"/>
        </w:rPr>
        <w:t xml:space="preserve"> REG </w:t>
      </w:r>
      <w:proofErr w:type="spellStart"/>
      <w:r w:rsidRPr="00E41E2F">
        <w:rPr>
          <w:bCs/>
          <w:i/>
          <w:sz w:val="20"/>
          <w:szCs w:val="20"/>
        </w:rPr>
        <w:t>bundle</w:t>
      </w:r>
      <w:proofErr w:type="spellEnd"/>
      <w:r w:rsidRPr="00E41E2F">
        <w:rPr>
          <w:bCs/>
          <w:i/>
          <w:sz w:val="20"/>
          <w:szCs w:val="20"/>
        </w:rPr>
        <w:t xml:space="preserve"> </w:t>
      </w:r>
      <w:proofErr w:type="spellStart"/>
      <w:r w:rsidRPr="00E41E2F">
        <w:rPr>
          <w:bCs/>
          <w:i/>
          <w:sz w:val="20"/>
          <w:szCs w:val="20"/>
        </w:rPr>
        <w:t>size</w:t>
      </w:r>
      <w:proofErr w:type="spellEnd"/>
      <w:r w:rsidRPr="00E41E2F">
        <w:rPr>
          <w:bCs/>
          <w:i/>
          <w:sz w:val="20"/>
          <w:szCs w:val="20"/>
        </w:rPr>
        <w:t xml:space="preserve"> 2.</w:t>
      </w:r>
    </w:p>
    <w:p w14:paraId="1BAAAC37" w14:textId="77777777" w:rsidR="00E41E2F" w:rsidRPr="00E41E2F" w:rsidRDefault="00E41E2F" w:rsidP="00E41E2F">
      <w:pPr>
        <w:pStyle w:val="ListParagraph"/>
        <w:spacing w:after="120"/>
        <w:ind w:left="1004"/>
        <w:jc w:val="both"/>
        <w:rPr>
          <w:bCs/>
          <w:i/>
          <w:sz w:val="20"/>
          <w:szCs w:val="20"/>
        </w:rPr>
      </w:pPr>
    </w:p>
    <w:p w14:paraId="6165ECB9" w14:textId="2BE28EBF" w:rsidR="005D07AE" w:rsidRDefault="005D07AE" w:rsidP="005D07AE">
      <w:pPr>
        <w:keepNext/>
        <w:spacing w:after="0"/>
        <w:jc w:val="center"/>
      </w:pPr>
      <w:r w:rsidRPr="005D07AE">
        <w:rPr>
          <w:noProof/>
        </w:rPr>
        <w:drawing>
          <wp:inline distT="0" distB="0" distL="0" distR="0" wp14:anchorId="764223B9" wp14:editId="4648C7D3">
            <wp:extent cx="4886988" cy="781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86988" cy="781200"/>
                    </a:xfrm>
                    <a:prstGeom prst="rect">
                      <a:avLst/>
                    </a:prstGeom>
                    <a:noFill/>
                    <a:ln>
                      <a:noFill/>
                    </a:ln>
                  </pic:spPr>
                </pic:pic>
              </a:graphicData>
            </a:graphic>
          </wp:inline>
        </w:drawing>
      </w:r>
    </w:p>
    <w:p w14:paraId="1E6B4412" w14:textId="4FFF3AAB" w:rsidR="00546312" w:rsidRDefault="005D07AE" w:rsidP="005D07A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spellStart"/>
      <w:r w:rsidR="002A7D9C">
        <w:t>Interleaveving</w:t>
      </w:r>
      <w:proofErr w:type="spellEnd"/>
      <w:r w:rsidR="002A7D9C">
        <w:t xml:space="preserve">, </w:t>
      </w:r>
      <w:r>
        <w:t>REG bundle size = 2</w:t>
      </w:r>
      <w:r w:rsidR="002A7D9C">
        <w:t>.</w:t>
      </w:r>
    </w:p>
    <w:p w14:paraId="5BE2E290" w14:textId="2A0048FB" w:rsidR="008F4CF7" w:rsidRDefault="008F4CF7" w:rsidP="00CD0126">
      <w:pPr>
        <w:spacing w:after="0"/>
      </w:pPr>
    </w:p>
    <w:p w14:paraId="00D24E6C" w14:textId="22B99C89" w:rsidR="005D07AE" w:rsidRDefault="005D07AE" w:rsidP="005D07AE">
      <w:pPr>
        <w:keepNext/>
        <w:spacing w:after="0"/>
        <w:jc w:val="center"/>
      </w:pPr>
      <w:r w:rsidRPr="005D07AE">
        <w:rPr>
          <w:noProof/>
        </w:rPr>
        <w:drawing>
          <wp:inline distT="0" distB="0" distL="0" distR="0" wp14:anchorId="22943E2D" wp14:editId="11A040AE">
            <wp:extent cx="3843881" cy="781200"/>
            <wp:effectExtent l="0" t="0" r="444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3881" cy="781200"/>
                    </a:xfrm>
                    <a:prstGeom prst="rect">
                      <a:avLst/>
                    </a:prstGeom>
                    <a:noFill/>
                    <a:ln>
                      <a:noFill/>
                    </a:ln>
                  </pic:spPr>
                </pic:pic>
              </a:graphicData>
            </a:graphic>
          </wp:inline>
        </w:drawing>
      </w:r>
    </w:p>
    <w:p w14:paraId="2172075E" w14:textId="0B77F470" w:rsidR="008F4CF7" w:rsidRDefault="005D07AE" w:rsidP="002A7D9C">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w:t>
      </w:r>
      <w:r w:rsidRPr="005D07AE">
        <w:t xml:space="preserve"> </w:t>
      </w:r>
      <w:proofErr w:type="spellStart"/>
      <w:r w:rsidR="002A7D9C">
        <w:t>Interleaveving</w:t>
      </w:r>
      <w:proofErr w:type="spellEnd"/>
      <w:r w:rsidR="002A7D9C">
        <w:t>, REG bundle size = 3.</w:t>
      </w:r>
    </w:p>
    <w:p w14:paraId="1555499E" w14:textId="77777777" w:rsidR="002A7D9C" w:rsidRPr="002A7D9C" w:rsidRDefault="002A7D9C" w:rsidP="002A7D9C"/>
    <w:p w14:paraId="298CAEBE" w14:textId="4C16AC2D" w:rsidR="005D07AE" w:rsidRDefault="005D07AE" w:rsidP="005D07AE">
      <w:pPr>
        <w:keepNext/>
        <w:spacing w:after="0"/>
        <w:jc w:val="center"/>
      </w:pPr>
      <w:r w:rsidRPr="005D07AE">
        <w:rPr>
          <w:noProof/>
        </w:rPr>
        <w:drawing>
          <wp:inline distT="0" distB="0" distL="0" distR="0" wp14:anchorId="74ABF47F" wp14:editId="2B67BC1F">
            <wp:extent cx="2603373" cy="781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3373" cy="781200"/>
                    </a:xfrm>
                    <a:prstGeom prst="rect">
                      <a:avLst/>
                    </a:prstGeom>
                    <a:noFill/>
                    <a:ln>
                      <a:noFill/>
                    </a:ln>
                  </pic:spPr>
                </pic:pic>
              </a:graphicData>
            </a:graphic>
          </wp:inline>
        </w:drawing>
      </w:r>
    </w:p>
    <w:p w14:paraId="197683A5" w14:textId="55BE3AA8" w:rsidR="008F4CF7" w:rsidRDefault="005D07AE" w:rsidP="005D07AE">
      <w:pPr>
        <w:pStyle w:val="Caption"/>
        <w:jc w:val="center"/>
        <w:rPr>
          <w:bCs/>
          <w:i/>
        </w:rPr>
      </w:pPr>
      <w:bookmarkStart w:id="1" w:name="_Hlk492889743"/>
      <w:r>
        <w:t xml:space="preserve">Figure </w:t>
      </w:r>
      <w:r>
        <w:fldChar w:fldCharType="begin"/>
      </w:r>
      <w:r>
        <w:instrText xml:space="preserve"> SEQ Figure \* ARABIC </w:instrText>
      </w:r>
      <w:r>
        <w:fldChar w:fldCharType="separate"/>
      </w:r>
      <w:r>
        <w:rPr>
          <w:noProof/>
        </w:rPr>
        <w:t>3</w:t>
      </w:r>
      <w:r>
        <w:fldChar w:fldCharType="end"/>
      </w:r>
      <w:bookmarkEnd w:id="1"/>
      <w:r>
        <w:t xml:space="preserve">. </w:t>
      </w:r>
      <w:proofErr w:type="spellStart"/>
      <w:r w:rsidR="002A7D9C">
        <w:t>Interleaveving</w:t>
      </w:r>
      <w:proofErr w:type="spellEnd"/>
      <w:r w:rsidR="002A7D9C">
        <w:t>, REG bundle size = 6.</w:t>
      </w:r>
    </w:p>
    <w:p w14:paraId="452A9A0C" w14:textId="0DE98C05" w:rsidR="000D6DCC" w:rsidRDefault="00062630" w:rsidP="00BC07A1">
      <w:pPr>
        <w:pStyle w:val="Heading1"/>
        <w:rPr>
          <w:rFonts w:eastAsia="MS Mincho"/>
          <w:lang w:val="en-US" w:eastAsia="ja-JP"/>
        </w:rPr>
      </w:pPr>
      <w:r>
        <w:rPr>
          <w:color w:val="000000"/>
        </w:rPr>
        <w:t>3</w:t>
      </w:r>
      <w:r w:rsidR="00C7542D" w:rsidRPr="00A51522">
        <w:rPr>
          <w:color w:val="000000"/>
        </w:rPr>
        <w:tab/>
      </w:r>
      <w:r w:rsidR="00BC07A1">
        <w:t>Precoder granularity</w:t>
      </w:r>
    </w:p>
    <w:p w14:paraId="4A550AA0" w14:textId="784C4691" w:rsidR="00BC07A1" w:rsidRDefault="00BC07A1" w:rsidP="00BC07A1">
      <w:pPr>
        <w:spacing w:after="120"/>
        <w:jc w:val="both"/>
      </w:pPr>
      <w:r>
        <w:rPr>
          <w:rFonts w:ascii="Arial" w:hAnsi="Arial"/>
          <w:sz w:val="24"/>
        </w:rPr>
        <w:t>3.1. Precoder granularity in frequency</w:t>
      </w:r>
    </w:p>
    <w:p w14:paraId="6F818537" w14:textId="3DB63FA5" w:rsidR="00524454" w:rsidRDefault="00524454" w:rsidP="000718F7">
      <w:pPr>
        <w:spacing w:after="120"/>
        <w:jc w:val="both"/>
        <w:rPr>
          <w:rFonts w:eastAsia="Times New Roman"/>
          <w:lang w:val="en-US"/>
        </w:rPr>
      </w:pPr>
      <w:r>
        <w:rPr>
          <w:rFonts w:eastAsia="Times New Roman"/>
          <w:lang w:val="en-US"/>
        </w:rPr>
        <w:t>One of the open issues in PDCCH desi</w:t>
      </w:r>
      <w:r w:rsidR="00204E26">
        <w:rPr>
          <w:rFonts w:eastAsia="Times New Roman"/>
          <w:lang w:val="en-US"/>
        </w:rPr>
        <w:t>gn</w:t>
      </w:r>
      <w:r>
        <w:rPr>
          <w:rFonts w:eastAsia="Times New Roman"/>
          <w:lang w:val="en-US"/>
        </w:rPr>
        <w:t xml:space="preserve"> is precoder granularity in frequency</w:t>
      </w:r>
      <w:r w:rsidR="002C33E6">
        <w:rPr>
          <w:rFonts w:eastAsia="Times New Roman"/>
          <w:lang w:val="en-US"/>
        </w:rPr>
        <w:t xml:space="preserve"> </w:t>
      </w:r>
      <w:r w:rsidR="002C33E6" w:rsidRPr="002C33E6">
        <w:rPr>
          <w:rFonts w:eastAsia="Times New Roman"/>
          <w:sz w:val="24"/>
          <w:lang w:val="en-US"/>
        </w:rPr>
        <w:t>(“</w:t>
      </w:r>
      <w:r w:rsidR="002C33E6" w:rsidRPr="002C33E6">
        <w:rPr>
          <w:rFonts w:eastAsia="Malgun Gothic"/>
          <w:i/>
          <w:szCs w:val="17"/>
          <w:lang w:val="en-US"/>
        </w:rPr>
        <w:t xml:space="preserve">FFS: </w:t>
      </w:r>
      <w:proofErr w:type="spellStart"/>
      <w:r w:rsidR="002C33E6" w:rsidRPr="002C33E6">
        <w:rPr>
          <w:rFonts w:eastAsia="Malgun Gothic"/>
          <w:i/>
          <w:szCs w:val="17"/>
          <w:lang w:val="en-US"/>
        </w:rPr>
        <w:t>gNB</w:t>
      </w:r>
      <w:proofErr w:type="spellEnd"/>
      <w:r w:rsidR="002C33E6" w:rsidRPr="002C33E6">
        <w:rPr>
          <w:rFonts w:eastAsia="Malgun Gothic"/>
          <w:i/>
          <w:szCs w:val="17"/>
          <w:lang w:val="en-US"/>
        </w:rPr>
        <w:t xml:space="preserve"> can inform to the UE </w:t>
      </w:r>
      <w:proofErr w:type="gramStart"/>
      <w:r w:rsidR="002C33E6" w:rsidRPr="002C33E6">
        <w:rPr>
          <w:rFonts w:eastAsia="Malgun Gothic"/>
          <w:i/>
          <w:szCs w:val="17"/>
          <w:lang w:val="en-US"/>
        </w:rPr>
        <w:t>whether or not</w:t>
      </w:r>
      <w:proofErr w:type="gramEnd"/>
      <w:r w:rsidR="002C33E6" w:rsidRPr="002C33E6">
        <w:rPr>
          <w:rFonts w:eastAsia="Malgun Gothic"/>
          <w:i/>
          <w:szCs w:val="17"/>
          <w:lang w:val="en-US"/>
        </w:rPr>
        <w:t xml:space="preserve"> to assume the same precoder over multiple REG bundles</w:t>
      </w:r>
      <w:r w:rsidR="002C33E6" w:rsidRPr="002C33E6">
        <w:rPr>
          <w:rFonts w:eastAsia="Times New Roman"/>
          <w:sz w:val="24"/>
          <w:lang w:val="en-US"/>
        </w:rPr>
        <w:t>”</w:t>
      </w:r>
      <w:r w:rsidR="002C33E6">
        <w:rPr>
          <w:rFonts w:eastAsia="Times New Roman"/>
          <w:lang w:val="en-US"/>
        </w:rPr>
        <w:t>)</w:t>
      </w:r>
      <w:r>
        <w:rPr>
          <w:rFonts w:eastAsia="Times New Roman"/>
          <w:lang w:val="en-US"/>
        </w:rPr>
        <w:t>. There are two options to make it:</w:t>
      </w:r>
    </w:p>
    <w:p w14:paraId="62B8FC2C" w14:textId="3BBB87B2" w:rsidR="00524454" w:rsidRDefault="00524454" w:rsidP="006C5670">
      <w:pPr>
        <w:pStyle w:val="ListParagraph"/>
        <w:numPr>
          <w:ilvl w:val="0"/>
          <w:numId w:val="7"/>
        </w:numPr>
        <w:spacing w:after="120"/>
        <w:jc w:val="both"/>
        <w:rPr>
          <w:rFonts w:eastAsia="Times New Roman"/>
          <w:sz w:val="20"/>
          <w:lang w:val="en-US"/>
        </w:rPr>
      </w:pPr>
      <w:r w:rsidRPr="00E464EC">
        <w:rPr>
          <w:rFonts w:eastAsia="MS Mincho"/>
          <w:sz w:val="20"/>
          <w:szCs w:val="17"/>
          <w:u w:val="single"/>
          <w:lang w:val="en-US"/>
        </w:rPr>
        <w:t xml:space="preserve">Option </w:t>
      </w:r>
      <w:r w:rsidR="00E464EC">
        <w:rPr>
          <w:rFonts w:eastAsia="MS Mincho"/>
          <w:sz w:val="20"/>
          <w:szCs w:val="17"/>
          <w:u w:val="single"/>
          <w:lang w:val="en-US"/>
        </w:rPr>
        <w:t>#</w:t>
      </w:r>
      <w:r w:rsidRPr="00E464EC">
        <w:rPr>
          <w:rFonts w:eastAsia="MS Mincho"/>
          <w:sz w:val="20"/>
          <w:szCs w:val="17"/>
          <w:u w:val="single"/>
          <w:lang w:val="en-US"/>
        </w:rPr>
        <w:t>1:</w:t>
      </w:r>
      <w:r w:rsidRPr="00524454">
        <w:rPr>
          <w:rFonts w:eastAsia="MS Mincho"/>
          <w:sz w:val="20"/>
          <w:szCs w:val="17"/>
          <w:lang w:val="en-US"/>
        </w:rPr>
        <w:t xml:space="preserve"> Precoder granularity in frequency domain is equal to the REG bundle size in the frequency domain</w:t>
      </w:r>
      <w:r w:rsidRPr="00524454">
        <w:rPr>
          <w:rFonts w:eastAsia="Times New Roman"/>
          <w:sz w:val="20"/>
          <w:lang w:val="en-US"/>
        </w:rPr>
        <w:t>.</w:t>
      </w:r>
      <w:r>
        <w:rPr>
          <w:rFonts w:eastAsia="Times New Roman"/>
          <w:sz w:val="20"/>
          <w:lang w:val="en-US"/>
        </w:rPr>
        <w:t xml:space="preserve"> This is according to working assumption made in RAN1 Ad-hoc #2.</w:t>
      </w:r>
    </w:p>
    <w:p w14:paraId="7FB40E08" w14:textId="77264679" w:rsidR="00524454" w:rsidRPr="00524454" w:rsidRDefault="00E464EC" w:rsidP="006C5670">
      <w:pPr>
        <w:pStyle w:val="ListParagraph"/>
        <w:numPr>
          <w:ilvl w:val="0"/>
          <w:numId w:val="7"/>
        </w:numPr>
        <w:spacing w:after="120"/>
        <w:jc w:val="both"/>
        <w:rPr>
          <w:rFonts w:eastAsia="Times New Roman"/>
          <w:sz w:val="20"/>
          <w:lang w:val="en-US"/>
        </w:rPr>
      </w:pPr>
      <w:r w:rsidRPr="00E464EC">
        <w:rPr>
          <w:rFonts w:eastAsia="MS Mincho"/>
          <w:sz w:val="20"/>
          <w:szCs w:val="17"/>
          <w:u w:val="single"/>
          <w:lang w:val="en-US"/>
        </w:rPr>
        <w:t xml:space="preserve">Option </w:t>
      </w:r>
      <w:r>
        <w:rPr>
          <w:rFonts w:eastAsia="MS Mincho"/>
          <w:sz w:val="20"/>
          <w:szCs w:val="17"/>
          <w:u w:val="single"/>
          <w:lang w:val="en-US"/>
        </w:rPr>
        <w:t>#2</w:t>
      </w:r>
      <w:r w:rsidRPr="00E464EC">
        <w:rPr>
          <w:rFonts w:eastAsia="MS Mincho"/>
          <w:sz w:val="20"/>
          <w:szCs w:val="17"/>
          <w:u w:val="single"/>
          <w:lang w:val="en-US"/>
        </w:rPr>
        <w:t>:</w:t>
      </w:r>
      <w:r w:rsidRPr="00524454">
        <w:rPr>
          <w:rFonts w:eastAsia="MS Mincho"/>
          <w:sz w:val="20"/>
          <w:szCs w:val="17"/>
          <w:lang w:val="en-US"/>
        </w:rPr>
        <w:t xml:space="preserve"> </w:t>
      </w:r>
      <w:r w:rsidR="00524454" w:rsidRPr="00E464EC">
        <w:rPr>
          <w:rFonts w:eastAsia="MS Mincho"/>
          <w:sz w:val="20"/>
          <w:szCs w:val="17"/>
          <w:lang w:val="en-US"/>
        </w:rPr>
        <w:t xml:space="preserve">Precoder granularity in frequency domain is a configuration parameter </w:t>
      </w:r>
      <w:r w:rsidR="0032079F">
        <w:rPr>
          <w:rFonts w:eastAsia="MS Mincho"/>
          <w:sz w:val="20"/>
          <w:szCs w:val="17"/>
          <w:lang w:val="en-US"/>
        </w:rPr>
        <w:t xml:space="preserve">and it can be </w:t>
      </w:r>
      <w:r w:rsidR="00524454" w:rsidRPr="00E464EC">
        <w:rPr>
          <w:rFonts w:eastAsia="MS Mincho"/>
          <w:sz w:val="20"/>
          <w:szCs w:val="17"/>
          <w:lang w:val="en-US"/>
        </w:rPr>
        <w:t xml:space="preserve">one or multiple consecutive REG bundles in the </w:t>
      </w:r>
      <w:r w:rsidR="0032079F">
        <w:rPr>
          <w:rFonts w:eastAsia="MS Mincho"/>
          <w:sz w:val="20"/>
          <w:szCs w:val="17"/>
          <w:lang w:val="en-US"/>
        </w:rPr>
        <w:t>frequency.</w:t>
      </w:r>
      <w:r w:rsidR="00524454">
        <w:rPr>
          <w:rFonts w:eastAsia="Times New Roman"/>
          <w:sz w:val="20"/>
          <w:lang w:val="en-US"/>
        </w:rPr>
        <w:t xml:space="preserve"> </w:t>
      </w:r>
    </w:p>
    <w:p w14:paraId="1F65BE7A" w14:textId="6D5C5C99" w:rsidR="00E464EC" w:rsidRDefault="00E464EC" w:rsidP="00524454">
      <w:pPr>
        <w:spacing w:after="120"/>
        <w:jc w:val="both"/>
        <w:rPr>
          <w:rFonts w:eastAsia="Times New Roman"/>
          <w:lang w:val="en-US"/>
        </w:rPr>
      </w:pPr>
      <w:r>
        <w:rPr>
          <w:rFonts w:eastAsia="Times New Roman"/>
          <w:lang w:val="en-US"/>
        </w:rPr>
        <w:t>When</w:t>
      </w:r>
      <w:r w:rsidR="00524454">
        <w:rPr>
          <w:rFonts w:eastAsia="Times New Roman"/>
          <w:lang w:val="en-US"/>
        </w:rPr>
        <w:t xml:space="preserve"> using precoder cycling, the UE can utilize only DMRS transmitted using the same precoding. Hence, </w:t>
      </w:r>
      <w:r>
        <w:rPr>
          <w:rFonts w:eastAsia="Times New Roman"/>
          <w:lang w:val="en-US"/>
        </w:rPr>
        <w:t>Option #2 can be used to improve UE channel estimation. On the other hand, Option #1 can maximize the amount of antenna diversity since each REG bundle can be processed with different precoding</w:t>
      </w:r>
      <w:r w:rsidR="0032079F">
        <w:rPr>
          <w:rFonts w:eastAsia="Times New Roman"/>
          <w:lang w:val="en-US"/>
        </w:rPr>
        <w:t xml:space="preserve"> weig</w:t>
      </w:r>
      <w:r>
        <w:rPr>
          <w:rFonts w:eastAsia="Times New Roman"/>
          <w:lang w:val="en-US"/>
        </w:rPr>
        <w:t xml:space="preserve">hts. </w:t>
      </w:r>
    </w:p>
    <w:p w14:paraId="1B87AC3F" w14:textId="6FA95ABA" w:rsidR="00E464EC" w:rsidRDefault="00E464EC" w:rsidP="00524454">
      <w:pPr>
        <w:spacing w:after="120"/>
        <w:jc w:val="both"/>
        <w:rPr>
          <w:rFonts w:eastAsia="Times New Roman"/>
          <w:lang w:val="en-US"/>
        </w:rPr>
      </w:pPr>
      <w:r>
        <w:rPr>
          <w:rFonts w:eastAsia="Times New Roman"/>
          <w:lang w:val="en-US"/>
        </w:rPr>
        <w:lastRenderedPageBreak/>
        <w:t xml:space="preserve">It </w:t>
      </w:r>
      <w:r w:rsidR="00204E26">
        <w:rPr>
          <w:rFonts w:eastAsia="Times New Roman"/>
          <w:lang w:val="en-US"/>
        </w:rPr>
        <w:t xml:space="preserve">should </w:t>
      </w:r>
      <w:r>
        <w:rPr>
          <w:rFonts w:eastAsia="Times New Roman"/>
          <w:lang w:val="en-US"/>
        </w:rPr>
        <w:t>be noted that configurable REG bundle size</w:t>
      </w:r>
      <w:r w:rsidR="003C0DBA">
        <w:rPr>
          <w:rFonts w:eastAsia="Times New Roman"/>
          <w:lang w:val="en-US"/>
        </w:rPr>
        <w:t xml:space="preserve"> (2 REGs vs. 6 REGs)</w:t>
      </w:r>
      <w:r>
        <w:rPr>
          <w:rFonts w:eastAsia="Times New Roman"/>
          <w:lang w:val="en-US"/>
        </w:rPr>
        <w:t xml:space="preserve"> combined with interleaved mapping provides similar trade-off between antenna diversity and UE channel estimation</w:t>
      </w:r>
      <w:r w:rsidR="00D02C62">
        <w:rPr>
          <w:rFonts w:eastAsia="Times New Roman"/>
          <w:lang w:val="en-US"/>
        </w:rPr>
        <w:t xml:space="preserve"> as does configurability between Option 1 and Option 2, therefore</w:t>
      </w:r>
      <w:r>
        <w:rPr>
          <w:rFonts w:eastAsia="Times New Roman"/>
          <w:lang w:val="en-US"/>
        </w:rPr>
        <w:t xml:space="preserve"> </w:t>
      </w:r>
      <w:r w:rsidR="00D02C62">
        <w:rPr>
          <w:rFonts w:eastAsia="Times New Roman"/>
          <w:lang w:val="en-US"/>
        </w:rPr>
        <w:t>there is no need to support</w:t>
      </w:r>
      <w:r>
        <w:rPr>
          <w:rFonts w:eastAsia="Times New Roman"/>
          <w:lang w:val="en-US"/>
        </w:rPr>
        <w:t xml:space="preserve"> Option #2.</w:t>
      </w:r>
      <w:r w:rsidR="00B022D6">
        <w:rPr>
          <w:rFonts w:eastAsia="Times New Roman"/>
          <w:lang w:val="en-US"/>
        </w:rPr>
        <w:t xml:space="preserve"> It was agreed in RAN1 #90 to support REG bundle size = 6 also with interleaved mapping.</w:t>
      </w:r>
      <w:r w:rsidR="003C0DBA">
        <w:rPr>
          <w:rFonts w:eastAsia="Times New Roman"/>
          <w:lang w:val="en-US"/>
        </w:rPr>
        <w:t xml:space="preserve"> Based on that, we propose to confirm the previous working assumption: </w:t>
      </w:r>
      <w:r>
        <w:rPr>
          <w:rFonts w:eastAsia="Times New Roman"/>
          <w:lang w:val="en-US"/>
        </w:rPr>
        <w:t xml:space="preserve"> </w:t>
      </w:r>
    </w:p>
    <w:p w14:paraId="3B59180E" w14:textId="41D5F081" w:rsidR="00E464EC" w:rsidRDefault="003C0DBA" w:rsidP="00524454">
      <w:pPr>
        <w:spacing w:after="120"/>
        <w:jc w:val="both"/>
        <w:rPr>
          <w:rFonts w:eastAsia="Times New Roman"/>
          <w:lang w:val="en-US"/>
        </w:rPr>
      </w:pPr>
      <w:r>
        <w:rPr>
          <w:b/>
          <w:i/>
        </w:rPr>
        <w:t>Proposal</w:t>
      </w:r>
      <w:r w:rsidRPr="00367367">
        <w:rPr>
          <w:b/>
          <w:i/>
        </w:rPr>
        <w:t xml:space="preserve"> #</w:t>
      </w:r>
      <w:r w:rsidR="003B19F8">
        <w:rPr>
          <w:b/>
          <w:i/>
        </w:rPr>
        <w:t>3</w:t>
      </w:r>
      <w:r>
        <w:t>:</w:t>
      </w:r>
      <w:r>
        <w:rPr>
          <w:bCs/>
          <w:i/>
        </w:rPr>
        <w:t xml:space="preserve"> </w:t>
      </w:r>
      <w:r w:rsidR="00BE71F7">
        <w:rPr>
          <w:bCs/>
          <w:i/>
        </w:rPr>
        <w:t>Confirm the working assumption that</w:t>
      </w:r>
      <w:r w:rsidR="00BE71F7" w:rsidRPr="003C0DBA" w:rsidDel="00BE71F7">
        <w:rPr>
          <w:rFonts w:eastAsia="MS Mincho"/>
          <w:i/>
          <w:szCs w:val="17"/>
          <w:lang w:val="en-US"/>
        </w:rPr>
        <w:t xml:space="preserve"> </w:t>
      </w:r>
      <w:r w:rsidR="00BE71F7">
        <w:rPr>
          <w:rFonts w:eastAsia="MS Mincho"/>
          <w:i/>
          <w:szCs w:val="17"/>
          <w:lang w:val="en-US"/>
        </w:rPr>
        <w:t>p</w:t>
      </w:r>
      <w:r w:rsidRPr="003C0DBA">
        <w:rPr>
          <w:rFonts w:eastAsia="MS Mincho"/>
          <w:i/>
          <w:szCs w:val="17"/>
          <w:lang w:val="en-US"/>
        </w:rPr>
        <w:t>recoder granularity in frequency domain is equal to the REG bundle size in the frequency domain</w:t>
      </w:r>
      <w:r w:rsidR="000479CE">
        <w:rPr>
          <w:rFonts w:eastAsia="MS Mincho"/>
          <w:i/>
          <w:szCs w:val="17"/>
          <w:lang w:val="en-US"/>
        </w:rPr>
        <w:t>.</w:t>
      </w:r>
    </w:p>
    <w:p w14:paraId="392102CF" w14:textId="77777777" w:rsidR="00BC07A1" w:rsidRDefault="00BC07A1" w:rsidP="00BC07A1">
      <w:pPr>
        <w:spacing w:after="120"/>
        <w:jc w:val="both"/>
        <w:rPr>
          <w:rFonts w:eastAsia="Times New Roman"/>
          <w:lang w:val="en-US"/>
        </w:rPr>
      </w:pPr>
    </w:p>
    <w:p w14:paraId="1C778BCC" w14:textId="1664BADF" w:rsidR="00BC07A1" w:rsidRDefault="00BC07A1" w:rsidP="00BC07A1">
      <w:pPr>
        <w:spacing w:after="120"/>
        <w:jc w:val="both"/>
      </w:pPr>
      <w:r>
        <w:rPr>
          <w:rFonts w:ascii="Arial" w:hAnsi="Arial"/>
          <w:sz w:val="24"/>
        </w:rPr>
        <w:t>3.2. Precoder granularity in time</w:t>
      </w:r>
    </w:p>
    <w:p w14:paraId="0C56E8CF" w14:textId="77777777" w:rsidR="004E708D" w:rsidRDefault="00BC07A1" w:rsidP="001C7A39">
      <w:pPr>
        <w:spacing w:after="120"/>
        <w:jc w:val="both"/>
        <w:rPr>
          <w:rFonts w:eastAsia="Times New Roman"/>
          <w:lang w:val="en-US"/>
        </w:rPr>
      </w:pPr>
      <w:r>
        <w:rPr>
          <w:rFonts w:eastAsia="Times New Roman"/>
          <w:lang w:val="en-US"/>
        </w:rPr>
        <w:t>Precoder cycling can be applied also in time</w:t>
      </w:r>
      <w:r w:rsidR="0006281A">
        <w:rPr>
          <w:rFonts w:eastAsia="Times New Roman"/>
          <w:lang w:val="en-US"/>
        </w:rPr>
        <w:t xml:space="preserve"> domain</w:t>
      </w:r>
      <w:r w:rsidR="00CC3837">
        <w:rPr>
          <w:rFonts w:eastAsia="Times New Roman"/>
          <w:lang w:val="en-US"/>
        </w:rPr>
        <w:t xml:space="preserve"> in the scenarios with CORESET length &gt; 1 OFDM symbol</w:t>
      </w:r>
      <w:r>
        <w:rPr>
          <w:rFonts w:eastAsia="Times New Roman"/>
          <w:lang w:val="en-US"/>
        </w:rPr>
        <w:t>.</w:t>
      </w:r>
      <w:r w:rsidRPr="00F5546A">
        <w:rPr>
          <w:rFonts w:eastAsia="Times New Roman"/>
          <w:lang w:val="en-US"/>
        </w:rPr>
        <w:t xml:space="preserve"> </w:t>
      </w:r>
      <w:proofErr w:type="gramStart"/>
      <w:r>
        <w:rPr>
          <w:rFonts w:eastAsia="Times New Roman"/>
          <w:lang w:val="en-US"/>
        </w:rPr>
        <w:t>Generally speaking, it</w:t>
      </w:r>
      <w:proofErr w:type="gramEnd"/>
      <w:r>
        <w:rPr>
          <w:rFonts w:eastAsia="Times New Roman"/>
          <w:lang w:val="en-US"/>
        </w:rPr>
        <w:t xml:space="preserve"> makes sense to define that by default, precoder cycling granularity in time correspon</w:t>
      </w:r>
      <w:r w:rsidR="00204E26">
        <w:rPr>
          <w:rFonts w:eastAsia="Times New Roman"/>
          <w:lang w:val="en-US"/>
        </w:rPr>
        <w:t>d</w:t>
      </w:r>
      <w:r>
        <w:rPr>
          <w:rFonts w:eastAsia="Times New Roman"/>
          <w:lang w:val="en-US"/>
        </w:rPr>
        <w:t xml:space="preserve">s to </w:t>
      </w:r>
      <w:r w:rsidR="00205F67">
        <w:rPr>
          <w:rFonts w:eastAsia="Times New Roman"/>
          <w:lang w:val="en-US"/>
        </w:rPr>
        <w:t xml:space="preserve">the </w:t>
      </w:r>
      <w:r>
        <w:rPr>
          <w:rFonts w:eastAsia="Times New Roman"/>
          <w:lang w:val="en-US"/>
        </w:rPr>
        <w:t>duration of the REG bundle</w:t>
      </w:r>
      <w:r w:rsidR="00CC3837">
        <w:rPr>
          <w:rFonts w:eastAsia="Times New Roman"/>
          <w:lang w:val="en-US"/>
        </w:rPr>
        <w:t xml:space="preserve"> (=CORESET</w:t>
      </w:r>
      <w:r w:rsidR="00BE71F7">
        <w:rPr>
          <w:rFonts w:eastAsia="Times New Roman"/>
          <w:lang w:val="en-US"/>
        </w:rPr>
        <w:t xml:space="preserve"> length</w:t>
      </w:r>
      <w:r w:rsidR="00CC3837">
        <w:rPr>
          <w:rFonts w:eastAsia="Times New Roman"/>
          <w:lang w:val="en-US"/>
        </w:rPr>
        <w:t>)</w:t>
      </w:r>
      <w:r>
        <w:rPr>
          <w:rFonts w:eastAsia="Times New Roman"/>
          <w:lang w:val="en-US"/>
        </w:rPr>
        <w:t xml:space="preserve"> in time. </w:t>
      </w:r>
    </w:p>
    <w:p w14:paraId="3F0FC615" w14:textId="77777777" w:rsidR="00B022D6" w:rsidRPr="00F42DDD" w:rsidRDefault="00B022D6" w:rsidP="00B022D6">
      <w:pPr>
        <w:spacing w:after="120"/>
        <w:jc w:val="both"/>
        <w:rPr>
          <w:bCs/>
          <w:i/>
        </w:rPr>
      </w:pPr>
      <w:r w:rsidRPr="00AA5269">
        <w:rPr>
          <w:b/>
          <w:i/>
        </w:rPr>
        <w:t>Proposal #</w:t>
      </w:r>
      <w:r>
        <w:rPr>
          <w:b/>
          <w:i/>
        </w:rPr>
        <w:t xml:space="preserve">4: </w:t>
      </w:r>
      <w:r>
        <w:rPr>
          <w:bCs/>
          <w:i/>
        </w:rPr>
        <w:t>By default, p</w:t>
      </w:r>
      <w:proofErr w:type="spellStart"/>
      <w:r>
        <w:rPr>
          <w:rFonts w:eastAsia="Times New Roman"/>
          <w:i/>
          <w:lang w:val="en-US" w:eastAsia="fi-FI"/>
        </w:rPr>
        <w:t>recoder</w:t>
      </w:r>
      <w:proofErr w:type="spellEnd"/>
      <w:r>
        <w:rPr>
          <w:rFonts w:eastAsia="Times New Roman"/>
          <w:i/>
          <w:lang w:val="en-US" w:eastAsia="fi-FI"/>
        </w:rPr>
        <w:t xml:space="preserve"> cycling granularity in time corresponds to the duration of REG bundle in time </w:t>
      </w:r>
    </w:p>
    <w:p w14:paraId="415D9AFD" w14:textId="77777777" w:rsidR="00B022D6" w:rsidRDefault="00B022D6" w:rsidP="00C5749F">
      <w:pPr>
        <w:spacing w:after="0"/>
        <w:jc w:val="both"/>
        <w:rPr>
          <w:rFonts w:eastAsia="Times New Roman"/>
          <w:lang w:val="en-US"/>
        </w:rPr>
      </w:pPr>
    </w:p>
    <w:p w14:paraId="7E8D0A48" w14:textId="2D13F441" w:rsidR="001C7A39" w:rsidRDefault="004E708D" w:rsidP="00C5749F">
      <w:pPr>
        <w:spacing w:after="0"/>
        <w:jc w:val="both"/>
        <w:rPr>
          <w:rFonts w:eastAsia="MS Mincho"/>
          <w:lang w:val="en-US" w:eastAsia="ja-JP"/>
        </w:rPr>
      </w:pPr>
      <w:proofErr w:type="gramStart"/>
      <w:r>
        <w:rPr>
          <w:rFonts w:eastAsia="Times New Roman"/>
          <w:lang w:val="en-US"/>
        </w:rPr>
        <w:t>I</w:t>
      </w:r>
      <w:r w:rsidR="00BC07A1">
        <w:rPr>
          <w:rFonts w:eastAsia="MS Mincho"/>
          <w:lang w:val="en-US" w:eastAsia="ja-JP"/>
        </w:rPr>
        <w:t>n order to</w:t>
      </w:r>
      <w:proofErr w:type="gramEnd"/>
      <w:r w:rsidR="00BC07A1">
        <w:rPr>
          <w:rFonts w:eastAsia="MS Mincho"/>
          <w:lang w:val="en-US" w:eastAsia="ja-JP"/>
        </w:rPr>
        <w:t xml:space="preserve"> support the necessary beam diversity </w:t>
      </w:r>
      <w:r>
        <w:rPr>
          <w:rFonts w:eastAsia="MS Mincho"/>
          <w:lang w:val="en-US" w:eastAsia="ja-JP"/>
        </w:rPr>
        <w:t xml:space="preserve">in a multi beam scenario, </w:t>
      </w:r>
      <w:r w:rsidR="00BC07A1">
        <w:rPr>
          <w:rFonts w:eastAsia="MS Mincho"/>
          <w:lang w:val="en-US" w:eastAsia="ja-JP"/>
        </w:rPr>
        <w:t xml:space="preserve">it </w:t>
      </w:r>
      <w:r w:rsidR="00B022D6">
        <w:rPr>
          <w:rFonts w:eastAsia="MS Mincho"/>
          <w:lang w:val="en-US" w:eastAsia="ja-JP"/>
        </w:rPr>
        <w:t>sh</w:t>
      </w:r>
      <w:r w:rsidR="00481E96">
        <w:rPr>
          <w:rFonts w:eastAsia="MS Mincho"/>
          <w:lang w:val="en-US" w:eastAsia="ja-JP"/>
        </w:rPr>
        <w:t>ould be beneficial to be able to</w:t>
      </w:r>
      <w:r w:rsidR="00BC07A1">
        <w:rPr>
          <w:rFonts w:eastAsia="MS Mincho"/>
          <w:lang w:val="en-US" w:eastAsia="ja-JP"/>
        </w:rPr>
        <w:t xml:space="preserve"> transmit the same DCI via multiple beams using different OFDM symbols. </w:t>
      </w:r>
      <w:r w:rsidR="001C7A39">
        <w:rPr>
          <w:rFonts w:eastAsia="MS Mincho"/>
          <w:lang w:val="en-US" w:eastAsia="ja-JP"/>
        </w:rPr>
        <w:t xml:space="preserve">Beam diversity can be achieved </w:t>
      </w:r>
      <w:r w:rsidR="00A75726">
        <w:rPr>
          <w:rFonts w:eastAsia="MS Mincho"/>
          <w:lang w:val="en-US" w:eastAsia="ja-JP"/>
        </w:rPr>
        <w:t>by setting</w:t>
      </w:r>
      <w:r w:rsidR="001C7A39">
        <w:rPr>
          <w:rFonts w:eastAsia="MS Mincho"/>
          <w:lang w:val="en-US" w:eastAsia="ja-JP"/>
        </w:rPr>
        <w:t xml:space="preserve"> precoder </w:t>
      </w:r>
      <w:r w:rsidR="00A75726">
        <w:rPr>
          <w:rFonts w:eastAsia="MS Mincho"/>
          <w:lang w:val="en-US" w:eastAsia="ja-JP"/>
        </w:rPr>
        <w:t>granularity</w:t>
      </w:r>
      <w:r w:rsidR="001C7A39">
        <w:rPr>
          <w:rFonts w:eastAsia="MS Mincho"/>
          <w:lang w:val="en-US" w:eastAsia="ja-JP"/>
        </w:rPr>
        <w:t xml:space="preserve"> in time domain to one OFDM symbol</w:t>
      </w:r>
      <w:r>
        <w:rPr>
          <w:rFonts w:eastAsia="MS Mincho"/>
          <w:lang w:val="en-US" w:eastAsia="ja-JP"/>
        </w:rPr>
        <w:t>. There are two options to make it, as shown in Figure 4</w:t>
      </w:r>
      <w:r w:rsidR="001C7A39">
        <w:rPr>
          <w:rFonts w:eastAsia="MS Mincho"/>
          <w:lang w:val="en-US" w:eastAsia="ja-JP"/>
        </w:rPr>
        <w:t>:</w:t>
      </w:r>
    </w:p>
    <w:p w14:paraId="03D06F36" w14:textId="2AA107D0" w:rsidR="001C7A39" w:rsidRPr="002A2CB4" w:rsidRDefault="001C7A39" w:rsidP="001C7A39">
      <w:pPr>
        <w:pStyle w:val="ListParagraph"/>
        <w:numPr>
          <w:ilvl w:val="0"/>
          <w:numId w:val="11"/>
        </w:numPr>
        <w:spacing w:after="120"/>
        <w:jc w:val="both"/>
        <w:rPr>
          <w:b/>
          <w:color w:val="000000"/>
          <w:u w:val="single"/>
          <w:lang w:val="en-US"/>
        </w:rPr>
      </w:pPr>
      <w:r w:rsidRPr="002A2CB4">
        <w:rPr>
          <w:rFonts w:eastAsia="MS Mincho"/>
          <w:b/>
          <w:sz w:val="20"/>
          <w:lang w:val="en-US" w:eastAsia="ja-JP"/>
        </w:rPr>
        <w:t>Option 1:</w:t>
      </w:r>
      <w:r>
        <w:rPr>
          <w:rFonts w:eastAsia="MS Mincho"/>
          <w:sz w:val="20"/>
          <w:lang w:val="en-US" w:eastAsia="ja-JP"/>
        </w:rPr>
        <w:t xml:space="preserve"> time first mapping of REG-to-CCE. Beam diversity is achieved.</w:t>
      </w:r>
      <w:r w:rsidR="00A75726">
        <w:rPr>
          <w:rFonts w:eastAsia="MS Mincho"/>
          <w:sz w:val="20"/>
          <w:lang w:val="en-US" w:eastAsia="ja-JP"/>
        </w:rPr>
        <w:t xml:space="preserve"> Channel estimation is performed jointly on 3 RBs.</w:t>
      </w:r>
      <w:r>
        <w:rPr>
          <w:rFonts w:eastAsia="MS Mincho"/>
          <w:sz w:val="20"/>
          <w:lang w:val="en-US" w:eastAsia="ja-JP"/>
        </w:rPr>
        <w:t xml:space="preserve"> </w:t>
      </w:r>
    </w:p>
    <w:p w14:paraId="6E471240" w14:textId="4BEA852F" w:rsidR="001C7A39" w:rsidRDefault="001C7A39" w:rsidP="004E708D">
      <w:pPr>
        <w:pStyle w:val="ListParagraph"/>
        <w:numPr>
          <w:ilvl w:val="0"/>
          <w:numId w:val="11"/>
        </w:numPr>
        <w:spacing w:after="120"/>
        <w:jc w:val="both"/>
        <w:rPr>
          <w:rFonts w:eastAsia="MS Mincho"/>
          <w:sz w:val="20"/>
          <w:szCs w:val="20"/>
          <w:lang w:val="en-US" w:eastAsia="ja-JP"/>
        </w:rPr>
      </w:pPr>
      <w:r>
        <w:rPr>
          <w:rFonts w:eastAsia="MS Mincho"/>
          <w:b/>
          <w:sz w:val="20"/>
          <w:szCs w:val="20"/>
          <w:lang w:val="en-US" w:eastAsia="ja-JP"/>
        </w:rPr>
        <w:t xml:space="preserve">Option 2: </w:t>
      </w:r>
      <w:r>
        <w:rPr>
          <w:rFonts w:eastAsia="MS Mincho"/>
          <w:sz w:val="20"/>
          <w:szCs w:val="20"/>
          <w:lang w:val="en-US" w:eastAsia="ja-JP"/>
        </w:rPr>
        <w:t xml:space="preserve">frequency first mapping of REG-to-CCE. </w:t>
      </w:r>
      <w:r w:rsidR="00A75726">
        <w:rPr>
          <w:rFonts w:eastAsia="MS Mincho"/>
          <w:sz w:val="20"/>
          <w:szCs w:val="20"/>
          <w:lang w:val="en-US" w:eastAsia="ja-JP"/>
        </w:rPr>
        <w:t xml:space="preserve">Channel estimation is </w:t>
      </w:r>
      <w:r w:rsidR="00A75726">
        <w:rPr>
          <w:rFonts w:eastAsia="MS Mincho"/>
          <w:sz w:val="20"/>
          <w:lang w:val="en-US" w:eastAsia="ja-JP"/>
        </w:rPr>
        <w:t>performed jointly on 6 RBs</w:t>
      </w:r>
      <w:r w:rsidR="00F81835">
        <w:rPr>
          <w:rFonts w:eastAsia="MS Mincho"/>
          <w:sz w:val="20"/>
          <w:lang w:val="en-US" w:eastAsia="ja-JP"/>
        </w:rPr>
        <w:t>.</w:t>
      </w:r>
    </w:p>
    <w:p w14:paraId="5041B3D0" w14:textId="62F795C0" w:rsidR="00BC07A1" w:rsidRDefault="00BC07A1" w:rsidP="00BC07A1">
      <w:pPr>
        <w:spacing w:after="0"/>
        <w:jc w:val="both"/>
        <w:rPr>
          <w:rFonts w:eastAsia="MS Mincho"/>
          <w:lang w:val="en-US" w:eastAsia="ja-JP"/>
        </w:rPr>
      </w:pPr>
    </w:p>
    <w:p w14:paraId="4F38E561" w14:textId="5845EA3C" w:rsidR="001C7A39" w:rsidRDefault="004E708D" w:rsidP="00BC07A1">
      <w:pPr>
        <w:spacing w:after="0"/>
        <w:jc w:val="both"/>
        <w:rPr>
          <w:rFonts w:eastAsia="MS Mincho"/>
          <w:lang w:val="en-US" w:eastAsia="ja-JP"/>
        </w:rPr>
      </w:pPr>
      <w:r w:rsidRPr="00947517">
        <w:rPr>
          <w:noProof/>
          <w:lang w:val="fi-FI" w:eastAsia="fi-FI"/>
        </w:rPr>
        <w:drawing>
          <wp:inline distT="0" distB="0" distL="0" distR="0" wp14:anchorId="4F69200C" wp14:editId="7F4C0CA9">
            <wp:extent cx="6120765" cy="12236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223645"/>
                    </a:xfrm>
                    <a:prstGeom prst="rect">
                      <a:avLst/>
                    </a:prstGeom>
                    <a:noFill/>
                    <a:ln>
                      <a:noFill/>
                    </a:ln>
                  </pic:spPr>
                </pic:pic>
              </a:graphicData>
            </a:graphic>
          </wp:inline>
        </w:drawing>
      </w:r>
    </w:p>
    <w:p w14:paraId="328B350D" w14:textId="51A9B2C6" w:rsidR="004E708D" w:rsidRDefault="00B72A91" w:rsidP="004E708D">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rsidR="004E708D">
        <w:t>. Two principles for achieving beam diversity in the case of CORESET with two OFDM symbols.</w:t>
      </w:r>
    </w:p>
    <w:p w14:paraId="067CDDB2" w14:textId="7F51A47E" w:rsidR="00B022D6" w:rsidRDefault="00B022D6" w:rsidP="00B022D6"/>
    <w:p w14:paraId="47A048EB" w14:textId="27F21CB9" w:rsidR="00B022D6" w:rsidRDefault="00B022D6" w:rsidP="00B022D6">
      <w:pPr>
        <w:spacing w:after="120"/>
        <w:jc w:val="both"/>
        <w:rPr>
          <w:rFonts w:eastAsia="MS Mincho"/>
          <w:lang w:val="en-US" w:eastAsia="ja-JP"/>
        </w:rPr>
      </w:pPr>
      <w:r w:rsidRPr="00B022D6">
        <w:rPr>
          <w:lang w:val="en-US"/>
        </w:rPr>
        <w:t xml:space="preserve">When comparing these options, it can be noted that </w:t>
      </w:r>
      <w:r>
        <w:rPr>
          <w:rFonts w:eastAsia="MS Mincho"/>
          <w:lang w:val="en-US" w:eastAsia="ja-JP"/>
        </w:rPr>
        <w:t xml:space="preserve">with Option 1, beam diversity is available within each REG bundle and within each aggregation level. In the case of Option 2, beam diversity is available only with the highest aggregation levels. Furthermore, Option 1 </w:t>
      </w:r>
      <w:proofErr w:type="gramStart"/>
      <w:r>
        <w:rPr>
          <w:rFonts w:eastAsia="MS Mincho"/>
          <w:lang w:val="en-US" w:eastAsia="ja-JP"/>
        </w:rPr>
        <w:t>can be seen as</w:t>
      </w:r>
      <w:proofErr w:type="gramEnd"/>
      <w:r>
        <w:rPr>
          <w:rFonts w:eastAsia="MS Mincho"/>
          <w:lang w:val="en-US" w:eastAsia="ja-JP"/>
        </w:rPr>
        <w:t xml:space="preserve"> </w:t>
      </w:r>
      <w:r w:rsidR="00FA3230">
        <w:rPr>
          <w:rFonts w:eastAsia="MS Mincho"/>
          <w:lang w:val="en-US" w:eastAsia="ja-JP"/>
        </w:rPr>
        <w:t>a</w:t>
      </w:r>
      <w:r>
        <w:rPr>
          <w:rFonts w:eastAsia="MS Mincho"/>
          <w:lang w:val="en-US" w:eastAsia="ja-JP"/>
        </w:rPr>
        <w:t xml:space="preserve"> simpler approach from standardization point of view since it can be done </w:t>
      </w:r>
      <w:r w:rsidR="000215BE">
        <w:rPr>
          <w:rFonts w:eastAsia="MS Mincho"/>
          <w:lang w:val="en-US" w:eastAsia="ja-JP"/>
        </w:rPr>
        <w:t xml:space="preserve">using </w:t>
      </w:r>
      <w:r w:rsidR="00FA3230">
        <w:rPr>
          <w:rFonts w:eastAsia="MS Mincho"/>
          <w:lang w:val="en-US" w:eastAsia="ja-JP"/>
        </w:rPr>
        <w:t>the same</w:t>
      </w:r>
      <w:r w:rsidR="000215BE">
        <w:rPr>
          <w:rFonts w:eastAsia="MS Mincho"/>
          <w:lang w:val="en-US" w:eastAsia="ja-JP"/>
        </w:rPr>
        <w:t xml:space="preserve"> </w:t>
      </w:r>
      <w:proofErr w:type="spellStart"/>
      <w:r w:rsidR="000215BE">
        <w:rPr>
          <w:rFonts w:eastAsia="MS Mincho"/>
          <w:lang w:val="en-US" w:eastAsia="ja-JP"/>
        </w:rPr>
        <w:t>interleaver</w:t>
      </w:r>
      <w:proofErr w:type="spellEnd"/>
      <w:r>
        <w:rPr>
          <w:rFonts w:eastAsia="MS Mincho"/>
          <w:lang w:val="en-US" w:eastAsia="ja-JP"/>
        </w:rPr>
        <w:t xml:space="preserve"> </w:t>
      </w:r>
      <w:r w:rsidR="00FA3230">
        <w:rPr>
          <w:rFonts w:eastAsia="MS Mincho"/>
          <w:lang w:val="en-US" w:eastAsia="ja-JP"/>
        </w:rPr>
        <w:t xml:space="preserve">(to be) </w:t>
      </w:r>
      <w:r>
        <w:rPr>
          <w:rFonts w:eastAsia="MS Mincho"/>
          <w:lang w:val="en-US" w:eastAsia="ja-JP"/>
        </w:rPr>
        <w:t xml:space="preserve">defined for </w:t>
      </w:r>
      <w:r w:rsidR="000215BE">
        <w:rPr>
          <w:rFonts w:eastAsia="MS Mincho"/>
          <w:lang w:val="en-US" w:eastAsia="ja-JP"/>
        </w:rPr>
        <w:t xml:space="preserve">a </w:t>
      </w:r>
      <w:r>
        <w:rPr>
          <w:rFonts w:eastAsia="MS Mincho"/>
          <w:lang w:val="en-US" w:eastAsia="ja-JP"/>
        </w:rPr>
        <w:t>multi-symbol CORESET</w:t>
      </w:r>
      <w:r w:rsidR="00A75726">
        <w:rPr>
          <w:rFonts w:eastAsia="MS Mincho"/>
          <w:lang w:val="en-US" w:eastAsia="ja-JP"/>
        </w:rPr>
        <w:t>, and bundling of 3RBs for channel estimation is sufficient</w:t>
      </w:r>
      <w:r>
        <w:rPr>
          <w:rFonts w:eastAsia="MS Mincho"/>
          <w:lang w:val="en-US" w:eastAsia="ja-JP"/>
        </w:rPr>
        <w:t>. Based on that, we make the following proposal:</w:t>
      </w:r>
    </w:p>
    <w:p w14:paraId="6B1A3CCE" w14:textId="77777777" w:rsidR="00B022D6" w:rsidRDefault="00B022D6" w:rsidP="00B022D6">
      <w:pPr>
        <w:spacing w:after="120"/>
        <w:jc w:val="both"/>
        <w:rPr>
          <w:bCs/>
          <w:i/>
        </w:rPr>
      </w:pPr>
      <w:r w:rsidRPr="00AA5269">
        <w:rPr>
          <w:b/>
          <w:i/>
        </w:rPr>
        <w:t>Proposal #</w:t>
      </w:r>
      <w:r>
        <w:rPr>
          <w:b/>
          <w:i/>
        </w:rPr>
        <w:t xml:space="preserve">5: </w:t>
      </w:r>
      <w:r>
        <w:rPr>
          <w:bCs/>
          <w:i/>
        </w:rPr>
        <w:t>Support precoder cycling granularity of one OFDM symbol as a configuration option for CORESETs with multiple OFDM symbols.</w:t>
      </w:r>
    </w:p>
    <w:p w14:paraId="44663799" w14:textId="389D3E53" w:rsidR="000479CE" w:rsidRDefault="000479CE" w:rsidP="000479CE">
      <w:pPr>
        <w:pStyle w:val="Heading1"/>
        <w:rPr>
          <w:rFonts w:eastAsia="MS Mincho"/>
          <w:lang w:val="en-US" w:eastAsia="ja-JP"/>
        </w:rPr>
      </w:pPr>
      <w:r>
        <w:rPr>
          <w:color w:val="000000"/>
        </w:rPr>
        <w:t>4</w:t>
      </w:r>
      <w:r w:rsidRPr="00A51522">
        <w:rPr>
          <w:color w:val="000000"/>
        </w:rPr>
        <w:tab/>
      </w:r>
      <w:r>
        <w:t xml:space="preserve">DMRS </w:t>
      </w:r>
      <w:r w:rsidR="00D14DBB">
        <w:t>issues</w:t>
      </w:r>
    </w:p>
    <w:p w14:paraId="192831DA" w14:textId="44C4B027" w:rsidR="001D2B7D" w:rsidRDefault="00CD27A8" w:rsidP="00CD27A8">
      <w:pPr>
        <w:spacing w:after="0"/>
        <w:jc w:val="both"/>
      </w:pPr>
      <w:r>
        <w:rPr>
          <w:lang w:val="en-US"/>
        </w:rPr>
        <w:t>It was agreed in RAN1 Ad-hoc#2 that “</w:t>
      </w:r>
      <w:r w:rsidRPr="00DF29CC">
        <w:rPr>
          <w:i/>
        </w:rPr>
        <w:t>DMRS is mapped on all REGs on all the OFDM symbols of a given PDCCH candidate</w:t>
      </w:r>
      <w:r>
        <w:t>” and “</w:t>
      </w:r>
      <w:r>
        <w:rPr>
          <w:i/>
        </w:rPr>
        <w:t>t</w:t>
      </w:r>
      <w:r w:rsidRPr="00DF29CC">
        <w:rPr>
          <w:i/>
        </w:rPr>
        <w:t>he DMRS density is the same on all REGs</w:t>
      </w:r>
      <w:r w:rsidR="00E46FF0">
        <w:t xml:space="preserve">”. </w:t>
      </w:r>
      <w:r w:rsidR="00DA2786">
        <w:t xml:space="preserve">A working assumption made at RAN1 #90 is </w:t>
      </w:r>
      <w:proofErr w:type="gramStart"/>
      <w:r w:rsidR="00DA2786">
        <w:t xml:space="preserve">that </w:t>
      </w:r>
      <w:r>
        <w:t>”</w:t>
      </w:r>
      <w:r w:rsidR="00DA2786" w:rsidRPr="00DA2786">
        <w:rPr>
          <w:i/>
        </w:rPr>
        <w:t>DM</w:t>
      </w:r>
      <w:proofErr w:type="gramEnd"/>
      <w:r w:rsidR="00DA2786" w:rsidRPr="00DA2786">
        <w:rPr>
          <w:i/>
        </w:rPr>
        <w:t>-RS density per REG is 1/4 at least for normal CP.</w:t>
      </w:r>
      <w:r>
        <w:t>”</w:t>
      </w:r>
      <w:r w:rsidR="00DA2786">
        <w:t xml:space="preserve"> </w:t>
      </w:r>
      <w:r w:rsidR="001D2B7D">
        <w:t xml:space="preserve">Simulation results shown in the Appendix show that DMRS density </w:t>
      </w:r>
      <w:r>
        <w:t xml:space="preserve">1/3 </w:t>
      </w:r>
      <w:r w:rsidR="001D2B7D">
        <w:t>c</w:t>
      </w:r>
      <w:r w:rsidR="00DA2786">
        <w:t>ould provide up to 0.4 dB</w:t>
      </w:r>
      <w:r w:rsidR="001D2B7D">
        <w:t xml:space="preserve"> gain compared to DMRS density 1/4 at the cell edge conditions, especially if the PDCCH payload is relatively small, and </w:t>
      </w:r>
      <w:r w:rsidR="00DA2786">
        <w:t xml:space="preserve">the </w:t>
      </w:r>
      <w:r w:rsidR="001D2B7D">
        <w:t>aggregation level is high.</w:t>
      </w:r>
      <w:r w:rsidR="00DA2786">
        <w:t xml:space="preserve"> This corresponds to a scenario where URLLC is operating.</w:t>
      </w:r>
      <w:r w:rsidR="00C66E69">
        <w:t xml:space="preserve"> </w:t>
      </w:r>
      <w:r w:rsidR="00DA2786">
        <w:t xml:space="preserve"> </w:t>
      </w:r>
    </w:p>
    <w:p w14:paraId="14C79F11" w14:textId="219B0A1C" w:rsidR="00DA2786" w:rsidRDefault="00DA2786" w:rsidP="00CD27A8">
      <w:pPr>
        <w:spacing w:after="0"/>
        <w:jc w:val="both"/>
      </w:pPr>
    </w:p>
    <w:p w14:paraId="53DF888C" w14:textId="4ECE17BC" w:rsidR="00DA2786" w:rsidRDefault="00DA2786" w:rsidP="00CD27A8">
      <w:pPr>
        <w:spacing w:after="0"/>
        <w:jc w:val="both"/>
      </w:pPr>
      <w:r>
        <w:t>Support for orthogonal DMRS for MU-MIMO has a connection to DMRS density:</w:t>
      </w:r>
    </w:p>
    <w:p w14:paraId="13238040" w14:textId="76F6E1C2" w:rsidR="00D8303C" w:rsidRPr="00D8303C" w:rsidRDefault="00DA2786" w:rsidP="00DA2786">
      <w:pPr>
        <w:pStyle w:val="ListParagraph"/>
        <w:numPr>
          <w:ilvl w:val="0"/>
          <w:numId w:val="12"/>
        </w:numPr>
        <w:jc w:val="both"/>
        <w:rPr>
          <w:lang w:val="en-US"/>
        </w:rPr>
      </w:pPr>
      <w:r w:rsidRPr="00DA2786">
        <w:rPr>
          <w:sz w:val="20"/>
          <w:szCs w:val="20"/>
          <w:lang w:val="en-US"/>
        </w:rPr>
        <w:t xml:space="preserve">DMRS density 1/3 </w:t>
      </w:r>
      <w:r w:rsidR="00D8303C">
        <w:rPr>
          <w:sz w:val="20"/>
          <w:szCs w:val="20"/>
          <w:lang w:val="en-US"/>
        </w:rPr>
        <w:t xml:space="preserve">allows two DMRS ports within each REG. </w:t>
      </w:r>
    </w:p>
    <w:p w14:paraId="53715E36" w14:textId="196EFD22" w:rsidR="00DA2786" w:rsidRPr="00DA2786" w:rsidRDefault="00D8303C" w:rsidP="00DA2786">
      <w:pPr>
        <w:pStyle w:val="ListParagraph"/>
        <w:numPr>
          <w:ilvl w:val="0"/>
          <w:numId w:val="12"/>
        </w:numPr>
        <w:jc w:val="both"/>
        <w:rPr>
          <w:lang w:val="en-US"/>
        </w:rPr>
      </w:pPr>
      <w:r>
        <w:rPr>
          <w:sz w:val="20"/>
          <w:szCs w:val="20"/>
          <w:lang w:val="en-US"/>
        </w:rPr>
        <w:t xml:space="preserve">DMRS density </w:t>
      </w:r>
      <w:r w:rsidR="00A75726">
        <w:rPr>
          <w:sz w:val="20"/>
          <w:szCs w:val="20"/>
          <w:lang w:val="en-US"/>
        </w:rPr>
        <w:t>1/4</w:t>
      </w:r>
      <w:r>
        <w:rPr>
          <w:sz w:val="20"/>
          <w:szCs w:val="20"/>
          <w:lang w:val="en-US"/>
        </w:rPr>
        <w:t xml:space="preserve"> requires that OCC</w:t>
      </w:r>
      <w:r w:rsidR="00F81835">
        <w:rPr>
          <w:sz w:val="20"/>
          <w:szCs w:val="20"/>
          <w:lang w:val="en-US"/>
        </w:rPr>
        <w:t>2</w:t>
      </w:r>
      <w:r>
        <w:rPr>
          <w:sz w:val="20"/>
          <w:szCs w:val="20"/>
          <w:lang w:val="en-US"/>
        </w:rPr>
        <w:t xml:space="preserve"> is applied over adjacent REGs</w:t>
      </w:r>
      <w:r w:rsidR="00F81835">
        <w:rPr>
          <w:sz w:val="20"/>
          <w:szCs w:val="20"/>
          <w:lang w:val="en-US"/>
        </w:rPr>
        <w:t>,</w:t>
      </w:r>
      <w:r w:rsidR="00A91E17">
        <w:rPr>
          <w:sz w:val="20"/>
          <w:szCs w:val="20"/>
          <w:lang w:val="en-US"/>
        </w:rPr>
        <w:t xml:space="preserve"> </w:t>
      </w:r>
      <w:r>
        <w:rPr>
          <w:sz w:val="20"/>
          <w:szCs w:val="20"/>
          <w:lang w:val="en-US"/>
        </w:rPr>
        <w:t>even REG bundles</w:t>
      </w:r>
      <w:r w:rsidR="00F81835">
        <w:rPr>
          <w:sz w:val="20"/>
          <w:szCs w:val="20"/>
          <w:lang w:val="en-US"/>
        </w:rPr>
        <w:t xml:space="preserve"> or introduction of OCC3</w:t>
      </w:r>
      <w:r>
        <w:rPr>
          <w:sz w:val="20"/>
          <w:szCs w:val="20"/>
          <w:lang w:val="en-US"/>
        </w:rPr>
        <w:t xml:space="preserve">. This will increase the system complexity </w:t>
      </w:r>
      <w:r w:rsidR="00F81835">
        <w:rPr>
          <w:sz w:val="20"/>
          <w:szCs w:val="20"/>
          <w:lang w:val="en-US"/>
        </w:rPr>
        <w:t>and/or</w:t>
      </w:r>
      <w:r>
        <w:rPr>
          <w:sz w:val="20"/>
          <w:szCs w:val="20"/>
          <w:lang w:val="en-US"/>
        </w:rPr>
        <w:t xml:space="preserve"> reduce the orthogonality between DMRS ports in the cases with reduced channel coherence in time and/or frequency.  </w:t>
      </w:r>
    </w:p>
    <w:p w14:paraId="0E8D7683" w14:textId="77777777" w:rsidR="00CD27A8" w:rsidRDefault="00CD27A8" w:rsidP="00CD27A8">
      <w:pPr>
        <w:spacing w:after="0"/>
        <w:jc w:val="both"/>
        <w:rPr>
          <w:lang w:val="en-US"/>
        </w:rPr>
      </w:pPr>
    </w:p>
    <w:p w14:paraId="63918820" w14:textId="21A81AEA" w:rsidR="00D8303C" w:rsidRDefault="00D8303C" w:rsidP="00CD27A8">
      <w:pPr>
        <w:spacing w:after="0"/>
        <w:jc w:val="both"/>
      </w:pPr>
      <w:r>
        <w:t>Based on the discussion above, we see the following options for the DMRS arrangement</w:t>
      </w:r>
      <w:r w:rsidR="00FA3230">
        <w:t xml:space="preserve"> </w:t>
      </w:r>
      <w:r w:rsidR="00B72A91">
        <w:t>in</w:t>
      </w:r>
      <w:r w:rsidR="00FA3230">
        <w:t xml:space="preserve"> NR Rel-15</w:t>
      </w:r>
      <w:r>
        <w:t>:</w:t>
      </w:r>
    </w:p>
    <w:p w14:paraId="2280BB94" w14:textId="024D8AB8" w:rsidR="00D8303C" w:rsidRPr="00D8303C" w:rsidRDefault="00D8303C" w:rsidP="00D8303C">
      <w:pPr>
        <w:pStyle w:val="ListParagraph"/>
        <w:numPr>
          <w:ilvl w:val="0"/>
          <w:numId w:val="13"/>
        </w:numPr>
        <w:jc w:val="both"/>
        <w:rPr>
          <w:lang w:val="en-US"/>
        </w:rPr>
      </w:pPr>
      <w:r>
        <w:rPr>
          <w:sz w:val="20"/>
          <w:szCs w:val="20"/>
          <w:lang w:val="en-US"/>
        </w:rPr>
        <w:lastRenderedPageBreak/>
        <w:t xml:space="preserve">Option 1: DMRS density is always 1/4. </w:t>
      </w:r>
      <w:r w:rsidR="007825F0">
        <w:rPr>
          <w:sz w:val="20"/>
          <w:szCs w:val="20"/>
          <w:lang w:val="en-US"/>
        </w:rPr>
        <w:t>The 2</w:t>
      </w:r>
      <w:r w:rsidR="007825F0" w:rsidRPr="007825F0">
        <w:rPr>
          <w:sz w:val="20"/>
          <w:szCs w:val="20"/>
          <w:vertAlign w:val="superscript"/>
          <w:lang w:val="en-US"/>
        </w:rPr>
        <w:t>nd</w:t>
      </w:r>
      <w:r w:rsidR="007825F0">
        <w:rPr>
          <w:sz w:val="20"/>
          <w:szCs w:val="20"/>
          <w:lang w:val="en-US"/>
        </w:rPr>
        <w:t xml:space="preserve"> orthogonal DMRS port</w:t>
      </w:r>
      <w:r>
        <w:rPr>
          <w:sz w:val="20"/>
          <w:szCs w:val="20"/>
          <w:lang w:val="en-US"/>
        </w:rPr>
        <w:t xml:space="preserve"> for MU-MIMO is not supported</w:t>
      </w:r>
      <w:r w:rsidR="007825F0">
        <w:rPr>
          <w:sz w:val="20"/>
          <w:szCs w:val="20"/>
          <w:lang w:val="en-US"/>
        </w:rPr>
        <w:t>.</w:t>
      </w:r>
    </w:p>
    <w:p w14:paraId="58B87794" w14:textId="513713E6" w:rsidR="00D8303C" w:rsidRPr="00D8303C" w:rsidRDefault="00D8303C" w:rsidP="00D8303C">
      <w:pPr>
        <w:pStyle w:val="ListParagraph"/>
        <w:numPr>
          <w:ilvl w:val="0"/>
          <w:numId w:val="13"/>
        </w:numPr>
        <w:ind w:left="709" w:hanging="349"/>
        <w:jc w:val="both"/>
        <w:rPr>
          <w:lang w:val="en-US"/>
        </w:rPr>
      </w:pPr>
      <w:r>
        <w:rPr>
          <w:sz w:val="20"/>
          <w:szCs w:val="20"/>
          <w:lang w:val="en-US"/>
        </w:rPr>
        <w:t xml:space="preserve">Option 2: DMRS density is configurable between </w:t>
      </w:r>
      <w:r w:rsidR="00A91E17">
        <w:rPr>
          <w:sz w:val="20"/>
          <w:szCs w:val="20"/>
          <w:lang w:val="en-US"/>
        </w:rPr>
        <w:t>1/4</w:t>
      </w:r>
      <w:r>
        <w:rPr>
          <w:sz w:val="20"/>
          <w:szCs w:val="20"/>
          <w:lang w:val="en-US"/>
        </w:rPr>
        <w:t xml:space="preserve"> and 1/3. </w:t>
      </w:r>
      <w:r w:rsidR="007825F0">
        <w:rPr>
          <w:sz w:val="20"/>
          <w:szCs w:val="20"/>
          <w:lang w:val="en-US"/>
        </w:rPr>
        <w:t>The 2</w:t>
      </w:r>
      <w:r w:rsidR="007825F0" w:rsidRPr="007825F0">
        <w:rPr>
          <w:sz w:val="20"/>
          <w:szCs w:val="20"/>
          <w:vertAlign w:val="superscript"/>
          <w:lang w:val="en-US"/>
        </w:rPr>
        <w:t>nd</w:t>
      </w:r>
      <w:r w:rsidR="007825F0">
        <w:rPr>
          <w:sz w:val="20"/>
          <w:szCs w:val="20"/>
          <w:lang w:val="en-US"/>
        </w:rPr>
        <w:t xml:space="preserve"> orthogonal DMRS port for MU-MIMO </w:t>
      </w:r>
      <w:r>
        <w:rPr>
          <w:sz w:val="20"/>
          <w:szCs w:val="20"/>
          <w:lang w:val="en-US"/>
        </w:rPr>
        <w:t>is supported only with DMRS density 1/3</w:t>
      </w:r>
      <w:r w:rsidR="00F81835">
        <w:rPr>
          <w:sz w:val="20"/>
          <w:szCs w:val="20"/>
          <w:lang w:val="en-US"/>
        </w:rPr>
        <w:t xml:space="preserve"> and with OCC2</w:t>
      </w:r>
      <w:r w:rsidR="007825F0">
        <w:rPr>
          <w:sz w:val="20"/>
          <w:szCs w:val="20"/>
          <w:lang w:val="en-US"/>
        </w:rPr>
        <w:t>.</w:t>
      </w:r>
    </w:p>
    <w:p w14:paraId="3BC78442" w14:textId="4BA463A2" w:rsidR="00D8303C" w:rsidRPr="00962AF9" w:rsidRDefault="00D8303C" w:rsidP="00D8303C">
      <w:pPr>
        <w:pStyle w:val="ListParagraph"/>
        <w:numPr>
          <w:ilvl w:val="0"/>
          <w:numId w:val="13"/>
        </w:numPr>
        <w:ind w:left="709" w:hanging="349"/>
        <w:jc w:val="both"/>
        <w:rPr>
          <w:lang w:val="en-US"/>
        </w:rPr>
      </w:pPr>
      <w:r>
        <w:rPr>
          <w:sz w:val="20"/>
          <w:szCs w:val="20"/>
          <w:lang w:val="en-US"/>
        </w:rPr>
        <w:t xml:space="preserve">Option 3: DMRS density is always 1/3. </w:t>
      </w:r>
      <w:r w:rsidR="007825F0">
        <w:rPr>
          <w:sz w:val="20"/>
          <w:szCs w:val="20"/>
          <w:lang w:val="en-US"/>
        </w:rPr>
        <w:t>The 2</w:t>
      </w:r>
      <w:r w:rsidR="007825F0" w:rsidRPr="007825F0">
        <w:rPr>
          <w:sz w:val="20"/>
          <w:szCs w:val="20"/>
          <w:vertAlign w:val="superscript"/>
          <w:lang w:val="en-US"/>
        </w:rPr>
        <w:t>nd</w:t>
      </w:r>
      <w:r w:rsidR="007825F0">
        <w:rPr>
          <w:sz w:val="20"/>
          <w:szCs w:val="20"/>
          <w:lang w:val="en-US"/>
        </w:rPr>
        <w:t xml:space="preserve"> orthogonal DMRS port for MU-MIMO is supported</w:t>
      </w:r>
      <w:r w:rsidR="00F81835">
        <w:rPr>
          <w:sz w:val="20"/>
          <w:szCs w:val="20"/>
          <w:lang w:val="en-US"/>
        </w:rPr>
        <w:t xml:space="preserve"> with OCC2</w:t>
      </w:r>
      <w:r>
        <w:rPr>
          <w:sz w:val="20"/>
          <w:szCs w:val="20"/>
          <w:lang w:val="en-US"/>
        </w:rPr>
        <w:t>.</w:t>
      </w:r>
    </w:p>
    <w:p w14:paraId="34C4FC34" w14:textId="1AAD02C3" w:rsidR="00962AF9" w:rsidRDefault="00962AF9" w:rsidP="00962AF9">
      <w:pPr>
        <w:jc w:val="both"/>
        <w:rPr>
          <w:lang w:val="en-US"/>
        </w:rPr>
      </w:pPr>
    </w:p>
    <w:p w14:paraId="7A4FB872" w14:textId="49034F2C" w:rsidR="007825F0" w:rsidRDefault="007825F0" w:rsidP="00962AF9">
      <w:pPr>
        <w:jc w:val="both"/>
        <w:rPr>
          <w:lang w:val="en-US"/>
        </w:rPr>
      </w:pPr>
      <w:r>
        <w:rPr>
          <w:lang w:val="en-US"/>
        </w:rPr>
        <w:t xml:space="preserve">We think that </w:t>
      </w:r>
      <w:proofErr w:type="gramStart"/>
      <w:r>
        <w:rPr>
          <w:lang w:val="en-US"/>
        </w:rPr>
        <w:t>in order to</w:t>
      </w:r>
      <w:proofErr w:type="gramEnd"/>
      <w:r>
        <w:rPr>
          <w:lang w:val="en-US"/>
        </w:rPr>
        <w:t xml:space="preserve"> minimize the needed standardization effort in NR Rel-15, the selection should be made between Option 1 and Option 3. In other words, PDCCH DMRS should be based on a single DMRS density in Rel-15.  It is possible to introduce additional DMRS density and/or support for the 2</w:t>
      </w:r>
      <w:r w:rsidRPr="007825F0">
        <w:rPr>
          <w:vertAlign w:val="superscript"/>
          <w:lang w:val="en-US"/>
        </w:rPr>
        <w:t>nd</w:t>
      </w:r>
      <w:r>
        <w:rPr>
          <w:lang w:val="en-US"/>
        </w:rPr>
        <w:t xml:space="preserve"> orthogonal DMRS port also in later NR releases (if needed). </w:t>
      </w:r>
    </w:p>
    <w:p w14:paraId="0F085D8B" w14:textId="41C54E16" w:rsidR="007825F0" w:rsidRPr="007825F0" w:rsidRDefault="007825F0" w:rsidP="007825F0">
      <w:pPr>
        <w:spacing w:after="120"/>
        <w:jc w:val="both"/>
        <w:rPr>
          <w:bCs/>
          <w:i/>
        </w:rPr>
      </w:pPr>
      <w:r w:rsidRPr="00AA5269">
        <w:rPr>
          <w:b/>
          <w:i/>
        </w:rPr>
        <w:t>Proposal #</w:t>
      </w:r>
      <w:r>
        <w:rPr>
          <w:b/>
          <w:i/>
        </w:rPr>
        <w:t xml:space="preserve">6: </w:t>
      </w:r>
      <w:r>
        <w:rPr>
          <w:i/>
        </w:rPr>
        <w:t>NR Rel-15 supports only one DMRS density for PDCCH</w:t>
      </w:r>
    </w:p>
    <w:p w14:paraId="741864FF" w14:textId="6EF22D5C" w:rsidR="00B67939" w:rsidRDefault="00B67939" w:rsidP="00B67939">
      <w:pPr>
        <w:spacing w:after="120"/>
        <w:jc w:val="both"/>
        <w:rPr>
          <w:bCs/>
          <w:i/>
        </w:rPr>
      </w:pPr>
      <w:r w:rsidRPr="00AA5269">
        <w:rPr>
          <w:b/>
          <w:i/>
        </w:rPr>
        <w:t>Proposal #</w:t>
      </w:r>
      <w:r w:rsidR="007825F0">
        <w:rPr>
          <w:b/>
          <w:i/>
        </w:rPr>
        <w:t>7</w:t>
      </w:r>
      <w:r>
        <w:rPr>
          <w:b/>
          <w:i/>
        </w:rPr>
        <w:t xml:space="preserve">: </w:t>
      </w:r>
      <w:r w:rsidR="007825F0">
        <w:rPr>
          <w:i/>
          <w:lang w:val="en-US"/>
        </w:rPr>
        <w:t>The 2</w:t>
      </w:r>
      <w:r w:rsidR="007825F0" w:rsidRPr="007825F0">
        <w:rPr>
          <w:i/>
          <w:vertAlign w:val="superscript"/>
          <w:lang w:val="en-US"/>
        </w:rPr>
        <w:t>nd</w:t>
      </w:r>
      <w:r w:rsidR="007825F0" w:rsidRPr="007825F0">
        <w:rPr>
          <w:i/>
          <w:lang w:val="en-US"/>
        </w:rPr>
        <w:t xml:space="preserve"> orthogonal DMRS port</w:t>
      </w:r>
      <w:r w:rsidR="007825F0">
        <w:rPr>
          <w:lang w:val="en-US"/>
        </w:rPr>
        <w:t xml:space="preserve"> </w:t>
      </w:r>
      <w:r>
        <w:rPr>
          <w:bCs/>
          <w:i/>
        </w:rPr>
        <w:t>for MU-MIMO is supported</w:t>
      </w:r>
      <w:r w:rsidR="007825F0">
        <w:rPr>
          <w:bCs/>
          <w:i/>
        </w:rPr>
        <w:t xml:space="preserve"> in NR Rel-15</w:t>
      </w:r>
      <w:r>
        <w:rPr>
          <w:bCs/>
          <w:i/>
        </w:rPr>
        <w:t xml:space="preserve"> only </w:t>
      </w:r>
      <w:r w:rsidR="007825F0">
        <w:rPr>
          <w:bCs/>
          <w:i/>
        </w:rPr>
        <w:t>if</w:t>
      </w:r>
      <w:r>
        <w:rPr>
          <w:bCs/>
          <w:i/>
        </w:rPr>
        <w:t xml:space="preserve"> DMRS density </w:t>
      </w:r>
      <w:r w:rsidR="007825F0">
        <w:rPr>
          <w:bCs/>
          <w:i/>
        </w:rPr>
        <w:t>1/3 is selected for NR PDCCH.</w:t>
      </w:r>
    </w:p>
    <w:p w14:paraId="0D827FAF" w14:textId="6F987905" w:rsidR="0034111C" w:rsidRPr="00A51522" w:rsidRDefault="00DF4C1A">
      <w:pPr>
        <w:pStyle w:val="Heading1"/>
        <w:rPr>
          <w:color w:val="000000"/>
        </w:rPr>
      </w:pPr>
      <w:r>
        <w:rPr>
          <w:color w:val="000000"/>
        </w:rPr>
        <w:t>5</w:t>
      </w:r>
      <w:r w:rsidR="0034111C" w:rsidRPr="00A51522">
        <w:rPr>
          <w:color w:val="000000"/>
        </w:rPr>
        <w:tab/>
      </w:r>
      <w:r w:rsidR="00EE7FA7" w:rsidRPr="00A51522">
        <w:rPr>
          <w:color w:val="000000"/>
        </w:rPr>
        <w:t>Conclusion</w:t>
      </w:r>
      <w:r w:rsidR="00DB39D4" w:rsidRPr="00A51522">
        <w:rPr>
          <w:color w:val="000000"/>
        </w:rPr>
        <w:t>s</w:t>
      </w:r>
    </w:p>
    <w:p w14:paraId="626917E1" w14:textId="2AC76599" w:rsidR="00731B79" w:rsidRPr="00F81835" w:rsidRDefault="003D3FBA" w:rsidP="006060C2">
      <w:pPr>
        <w:spacing w:after="120"/>
        <w:jc w:val="both"/>
        <w:rPr>
          <w:bCs/>
          <w:lang w:val="en-US"/>
        </w:rPr>
      </w:pPr>
      <w:r w:rsidRPr="00F81835">
        <w:rPr>
          <w:lang w:val="en-US"/>
        </w:rPr>
        <w:t>In this contribution</w:t>
      </w:r>
      <w:r w:rsidR="00F81835" w:rsidRPr="00F81835">
        <w:rPr>
          <w:lang w:val="en-US"/>
        </w:rPr>
        <w:t>,</w:t>
      </w:r>
      <w:r w:rsidRPr="00F81835">
        <w:rPr>
          <w:lang w:val="en-US"/>
        </w:rPr>
        <w:t xml:space="preserve"> we have discussed </w:t>
      </w:r>
      <w:r w:rsidR="00342AD2" w:rsidRPr="00F81835">
        <w:rPr>
          <w:bCs/>
          <w:lang w:val="en-US"/>
        </w:rPr>
        <w:t xml:space="preserve">the </w:t>
      </w:r>
      <w:r w:rsidR="00B67939" w:rsidRPr="00F81835">
        <w:rPr>
          <w:bCs/>
          <w:lang w:val="en-US"/>
        </w:rPr>
        <w:t xml:space="preserve">remaining details of PDCCH </w:t>
      </w:r>
      <w:proofErr w:type="spellStart"/>
      <w:r w:rsidR="00B67939" w:rsidRPr="00F81835">
        <w:rPr>
          <w:bCs/>
          <w:lang w:val="en-US"/>
        </w:rPr>
        <w:t>stucture</w:t>
      </w:r>
      <w:proofErr w:type="spellEnd"/>
      <w:r w:rsidR="00B67939" w:rsidRPr="00F81835">
        <w:rPr>
          <w:bCs/>
          <w:lang w:val="en-US"/>
        </w:rPr>
        <w:t xml:space="preserve"> for NR</w:t>
      </w:r>
      <w:r w:rsidR="006060C2" w:rsidRPr="00F81835">
        <w:rPr>
          <w:bCs/>
          <w:lang w:val="en-US"/>
        </w:rPr>
        <w:t>.</w:t>
      </w:r>
      <w:r w:rsidR="00342AD2" w:rsidRPr="00F81835">
        <w:rPr>
          <w:bCs/>
          <w:lang w:val="en-US"/>
        </w:rPr>
        <w:t xml:space="preserve"> Based on the discussion, we make the following proposal</w:t>
      </w:r>
      <w:r w:rsidR="006060C2" w:rsidRPr="00F81835">
        <w:rPr>
          <w:bCs/>
          <w:lang w:val="en-US"/>
        </w:rPr>
        <w:t>s</w:t>
      </w:r>
      <w:r w:rsidR="00342AD2" w:rsidRPr="00F81835">
        <w:rPr>
          <w:bCs/>
          <w:lang w:val="en-US"/>
        </w:rPr>
        <w:t>:</w:t>
      </w:r>
    </w:p>
    <w:p w14:paraId="58969643" w14:textId="77777777" w:rsidR="00B67939" w:rsidRPr="00F81835" w:rsidRDefault="00B67939" w:rsidP="00B67939">
      <w:pPr>
        <w:spacing w:after="120"/>
        <w:jc w:val="both"/>
        <w:rPr>
          <w:bCs/>
          <w:i/>
          <w:lang w:val="en-US"/>
        </w:rPr>
      </w:pPr>
      <w:r w:rsidRPr="00F81835">
        <w:rPr>
          <w:b/>
          <w:i/>
          <w:lang w:val="en-US"/>
        </w:rPr>
        <w:t>Proposal #1</w:t>
      </w:r>
      <w:r w:rsidRPr="00F81835">
        <w:rPr>
          <w:lang w:val="en-US"/>
        </w:rPr>
        <w:t>:</w:t>
      </w:r>
      <w:r w:rsidRPr="00F81835">
        <w:rPr>
          <w:bCs/>
          <w:i/>
          <w:lang w:val="en-US"/>
        </w:rPr>
        <w:t xml:space="preserve"> Adopt a block </w:t>
      </w:r>
      <w:proofErr w:type="spellStart"/>
      <w:r w:rsidRPr="00F81835">
        <w:rPr>
          <w:bCs/>
          <w:i/>
          <w:lang w:val="en-US"/>
        </w:rPr>
        <w:t>interleaver</w:t>
      </w:r>
      <w:proofErr w:type="spellEnd"/>
      <w:r w:rsidRPr="00F81835">
        <w:rPr>
          <w:bCs/>
          <w:i/>
          <w:lang w:val="en-US"/>
        </w:rPr>
        <w:t xml:space="preserve"> where REG bundle indexes are written in row-wise, and read in column wise</w:t>
      </w:r>
    </w:p>
    <w:p w14:paraId="240F5F8F" w14:textId="77777777" w:rsidR="00B67939" w:rsidRPr="00F81835" w:rsidRDefault="00B67939" w:rsidP="00B67939">
      <w:pPr>
        <w:spacing w:after="0"/>
        <w:jc w:val="both"/>
        <w:rPr>
          <w:bCs/>
          <w:i/>
          <w:lang w:val="en-US"/>
        </w:rPr>
      </w:pPr>
      <w:r w:rsidRPr="00F81835">
        <w:rPr>
          <w:b/>
          <w:i/>
          <w:lang w:val="en-US"/>
        </w:rPr>
        <w:t>Proposal #2</w:t>
      </w:r>
      <w:r w:rsidRPr="00F81835">
        <w:rPr>
          <w:lang w:val="en-US"/>
        </w:rPr>
        <w:t>:</w:t>
      </w:r>
      <w:r w:rsidRPr="00F81835">
        <w:rPr>
          <w:bCs/>
          <w:i/>
          <w:lang w:val="en-US"/>
        </w:rPr>
        <w:t xml:space="preserve"> The number of rows in the </w:t>
      </w:r>
      <w:proofErr w:type="spellStart"/>
      <w:r w:rsidRPr="00F81835">
        <w:rPr>
          <w:bCs/>
          <w:i/>
          <w:lang w:val="en-US"/>
        </w:rPr>
        <w:t>interleaver</w:t>
      </w:r>
      <w:proofErr w:type="spellEnd"/>
      <w:r w:rsidRPr="00F81835">
        <w:rPr>
          <w:bCs/>
          <w:i/>
          <w:lang w:val="en-US"/>
        </w:rPr>
        <w:t xml:space="preserve"> matrix is </w:t>
      </w:r>
    </w:p>
    <w:p w14:paraId="7CD1B4E8" w14:textId="77777777" w:rsidR="00B67939" w:rsidRPr="00F81835" w:rsidRDefault="00B67939" w:rsidP="00B67939">
      <w:pPr>
        <w:pStyle w:val="ListParagraph"/>
        <w:numPr>
          <w:ilvl w:val="0"/>
          <w:numId w:val="10"/>
        </w:numPr>
        <w:spacing w:after="120"/>
        <w:jc w:val="both"/>
        <w:rPr>
          <w:bCs/>
          <w:i/>
          <w:sz w:val="20"/>
          <w:szCs w:val="20"/>
          <w:lang w:val="en-US"/>
        </w:rPr>
      </w:pPr>
      <w:r w:rsidRPr="00F81835">
        <w:rPr>
          <w:bCs/>
          <w:i/>
          <w:sz w:val="20"/>
          <w:szCs w:val="20"/>
          <w:lang w:val="en-US"/>
        </w:rPr>
        <w:t>2 with REG bundle sizes [3, 6]</w:t>
      </w:r>
    </w:p>
    <w:p w14:paraId="14161ED2" w14:textId="062C4615" w:rsidR="00B67939" w:rsidRPr="00F81835" w:rsidRDefault="00B67939" w:rsidP="00B67939">
      <w:pPr>
        <w:pStyle w:val="ListParagraph"/>
        <w:numPr>
          <w:ilvl w:val="0"/>
          <w:numId w:val="10"/>
        </w:numPr>
        <w:spacing w:after="120"/>
        <w:jc w:val="both"/>
        <w:rPr>
          <w:bCs/>
          <w:i/>
          <w:sz w:val="20"/>
          <w:szCs w:val="20"/>
          <w:lang w:val="en-US"/>
        </w:rPr>
      </w:pPr>
      <w:r w:rsidRPr="00F81835">
        <w:rPr>
          <w:bCs/>
          <w:i/>
          <w:sz w:val="20"/>
          <w:szCs w:val="20"/>
          <w:lang w:val="en-US"/>
        </w:rPr>
        <w:t>3 with REG bundle size 2.</w:t>
      </w:r>
    </w:p>
    <w:p w14:paraId="7B8BEE0A" w14:textId="77777777" w:rsidR="00B67939" w:rsidRPr="00F81835" w:rsidRDefault="00B67939" w:rsidP="00B67939">
      <w:pPr>
        <w:spacing w:after="120"/>
        <w:jc w:val="both"/>
        <w:rPr>
          <w:rFonts w:eastAsia="Times New Roman"/>
          <w:lang w:val="en-US"/>
        </w:rPr>
      </w:pPr>
      <w:r w:rsidRPr="00F81835">
        <w:rPr>
          <w:b/>
          <w:i/>
          <w:lang w:val="en-US"/>
        </w:rPr>
        <w:t>Proposal #3</w:t>
      </w:r>
      <w:r w:rsidRPr="00F81835">
        <w:rPr>
          <w:lang w:val="en-US"/>
        </w:rPr>
        <w:t>:</w:t>
      </w:r>
      <w:r w:rsidRPr="00F81835">
        <w:rPr>
          <w:bCs/>
          <w:i/>
          <w:lang w:val="en-US"/>
        </w:rPr>
        <w:t xml:space="preserve"> Confirm the working assumption that</w:t>
      </w:r>
      <w:r w:rsidRPr="00F81835" w:rsidDel="00BE71F7">
        <w:rPr>
          <w:rFonts w:eastAsia="MS Mincho"/>
          <w:i/>
          <w:szCs w:val="17"/>
          <w:lang w:val="en-US"/>
        </w:rPr>
        <w:t xml:space="preserve"> </w:t>
      </w:r>
      <w:r w:rsidRPr="00F81835">
        <w:rPr>
          <w:rFonts w:eastAsia="MS Mincho"/>
          <w:i/>
          <w:szCs w:val="17"/>
          <w:lang w:val="en-US"/>
        </w:rPr>
        <w:t>precoder granularity in frequency domain is equal to the REG bundle size in the frequency domain.</w:t>
      </w:r>
    </w:p>
    <w:p w14:paraId="6E39BBCC" w14:textId="77777777" w:rsidR="00A73790" w:rsidRPr="00F81835" w:rsidRDefault="00A73790" w:rsidP="00A73790">
      <w:pPr>
        <w:spacing w:after="120"/>
        <w:jc w:val="both"/>
        <w:rPr>
          <w:bCs/>
          <w:i/>
          <w:lang w:val="en-US"/>
        </w:rPr>
      </w:pPr>
      <w:r w:rsidRPr="00F81835">
        <w:rPr>
          <w:b/>
          <w:i/>
          <w:lang w:val="en-US"/>
        </w:rPr>
        <w:t xml:space="preserve">Proposal #4: </w:t>
      </w:r>
      <w:r w:rsidRPr="00F81835">
        <w:rPr>
          <w:bCs/>
          <w:i/>
          <w:lang w:val="en-US"/>
        </w:rPr>
        <w:t>By default, p</w:t>
      </w:r>
      <w:r w:rsidRPr="00F81835">
        <w:rPr>
          <w:rFonts w:eastAsia="Times New Roman"/>
          <w:i/>
          <w:lang w:val="en-US" w:eastAsia="fi-FI"/>
        </w:rPr>
        <w:t xml:space="preserve">recoder cycling granularity in time corresponds to the duration of REG bundle in time </w:t>
      </w:r>
    </w:p>
    <w:p w14:paraId="66E06CE0" w14:textId="77777777" w:rsidR="00A73790" w:rsidRPr="00F81835" w:rsidRDefault="00A73790" w:rsidP="00A73790">
      <w:pPr>
        <w:spacing w:after="120"/>
        <w:jc w:val="both"/>
        <w:rPr>
          <w:bCs/>
          <w:i/>
          <w:lang w:val="en-US"/>
        </w:rPr>
      </w:pPr>
      <w:r w:rsidRPr="00F81835">
        <w:rPr>
          <w:b/>
          <w:i/>
          <w:lang w:val="en-US"/>
        </w:rPr>
        <w:t xml:space="preserve">Proposal #5: </w:t>
      </w:r>
      <w:r w:rsidRPr="00F81835">
        <w:rPr>
          <w:bCs/>
          <w:i/>
          <w:lang w:val="en-US"/>
        </w:rPr>
        <w:t>Support precoder cycling granularity of one OFDM symbol as a configuration option for CORESETs with multiple OFDM symbols.</w:t>
      </w:r>
    </w:p>
    <w:p w14:paraId="7A2EDE4F" w14:textId="77777777" w:rsidR="007825F0" w:rsidRPr="00F81835" w:rsidRDefault="007825F0" w:rsidP="007825F0">
      <w:pPr>
        <w:spacing w:after="120"/>
        <w:jc w:val="both"/>
        <w:rPr>
          <w:bCs/>
          <w:i/>
          <w:lang w:val="en-US"/>
        </w:rPr>
      </w:pPr>
      <w:r w:rsidRPr="00F81835">
        <w:rPr>
          <w:b/>
          <w:i/>
          <w:lang w:val="en-US"/>
        </w:rPr>
        <w:t xml:space="preserve">Proposal #6: </w:t>
      </w:r>
      <w:r w:rsidRPr="00F81835">
        <w:rPr>
          <w:i/>
          <w:lang w:val="en-US"/>
        </w:rPr>
        <w:t>NR Rel-15 supports only one DMRS density for PDCCH</w:t>
      </w:r>
    </w:p>
    <w:p w14:paraId="731387FD" w14:textId="77777777" w:rsidR="007825F0" w:rsidRPr="00F81835" w:rsidRDefault="007825F0" w:rsidP="007825F0">
      <w:pPr>
        <w:spacing w:after="120"/>
        <w:jc w:val="both"/>
        <w:rPr>
          <w:bCs/>
          <w:i/>
          <w:lang w:val="en-US"/>
        </w:rPr>
      </w:pPr>
      <w:r w:rsidRPr="00F81835">
        <w:rPr>
          <w:b/>
          <w:i/>
          <w:lang w:val="en-US"/>
        </w:rPr>
        <w:t xml:space="preserve">Proposal #7: </w:t>
      </w:r>
      <w:r w:rsidRPr="00F81835">
        <w:rPr>
          <w:i/>
          <w:lang w:val="en-US"/>
        </w:rPr>
        <w:t>The 2</w:t>
      </w:r>
      <w:r w:rsidRPr="00F81835">
        <w:rPr>
          <w:i/>
          <w:vertAlign w:val="superscript"/>
          <w:lang w:val="en-US"/>
        </w:rPr>
        <w:t>nd</w:t>
      </w:r>
      <w:r w:rsidRPr="00F81835">
        <w:rPr>
          <w:i/>
          <w:lang w:val="en-US"/>
        </w:rPr>
        <w:t xml:space="preserve"> orthogonal DMRS port</w:t>
      </w:r>
      <w:r w:rsidRPr="00F81835">
        <w:rPr>
          <w:lang w:val="en-US"/>
        </w:rPr>
        <w:t xml:space="preserve"> </w:t>
      </w:r>
      <w:r w:rsidRPr="00F81835">
        <w:rPr>
          <w:bCs/>
          <w:i/>
          <w:lang w:val="en-US"/>
        </w:rPr>
        <w:t>for MU-MIMO is supported in NR Rel-15 only if DMRS density 1/3 is selected for NR PDCCH.</w:t>
      </w:r>
    </w:p>
    <w:p w14:paraId="2F0729C1" w14:textId="4F54E886" w:rsidR="0034111C" w:rsidRPr="00A51522" w:rsidRDefault="007825F0" w:rsidP="007825F0">
      <w:pPr>
        <w:pStyle w:val="Heading1"/>
      </w:pPr>
      <w:r w:rsidRPr="00A51522">
        <w:t xml:space="preserve"> </w:t>
      </w:r>
      <w:r w:rsidR="0034111C" w:rsidRPr="00A51522">
        <w:t>References</w:t>
      </w:r>
      <w:r w:rsidR="00A2459D" w:rsidRPr="00A51522">
        <w:t xml:space="preserve"> </w:t>
      </w:r>
    </w:p>
    <w:p w14:paraId="40D99FF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3087413" w14:textId="77777777" w:rsidR="004A64F6" w:rsidRDefault="004A64F6" w:rsidP="004A64F6">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6774CE11" w14:textId="77777777" w:rsidR="009178BD" w:rsidRDefault="004A64F6" w:rsidP="00342AD2">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12EAAD7D" w14:textId="471BF15C" w:rsidR="004A64F6" w:rsidRDefault="004A64F6" w:rsidP="004A64F6">
      <w:pPr>
        <w:numPr>
          <w:ilvl w:val="0"/>
          <w:numId w:val="1"/>
        </w:numPr>
        <w:rPr>
          <w:sz w:val="18"/>
        </w:rPr>
      </w:pPr>
      <w:r w:rsidRPr="004C3EC7">
        <w:rPr>
          <w:sz w:val="18"/>
        </w:rPr>
        <w:t>RAN1 Chairman’s Notes, 3GPP TSG RAN WG1 Meeting #8</w:t>
      </w:r>
      <w:r>
        <w:rPr>
          <w:sz w:val="18"/>
        </w:rPr>
        <w:t>8</w:t>
      </w:r>
      <w:r w:rsidR="00F56EF6">
        <w:rPr>
          <w:sz w:val="18"/>
        </w:rPr>
        <w:t>bis</w:t>
      </w:r>
      <w:r w:rsidRPr="004C3EC7">
        <w:rPr>
          <w:sz w:val="18"/>
        </w:rPr>
        <w:t>, 3</w:t>
      </w:r>
      <w:r>
        <w:rPr>
          <w:sz w:val="18"/>
        </w:rPr>
        <w:t>GP</w:t>
      </w:r>
      <w:r w:rsidRPr="004C3EC7">
        <w:rPr>
          <w:sz w:val="18"/>
        </w:rPr>
        <w:t>P</w:t>
      </w:r>
    </w:p>
    <w:p w14:paraId="119FD259" w14:textId="088E09EC" w:rsidR="006E1A08" w:rsidRDefault="006E1A08" w:rsidP="006E1A08">
      <w:pPr>
        <w:numPr>
          <w:ilvl w:val="0"/>
          <w:numId w:val="1"/>
        </w:numPr>
        <w:rPr>
          <w:sz w:val="18"/>
        </w:rPr>
      </w:pPr>
      <w:r w:rsidRPr="004C3EC7">
        <w:rPr>
          <w:sz w:val="18"/>
        </w:rPr>
        <w:t>RAN1 Chairman’s Notes, 3GPP TSG RAN WG1 Meeting #8</w:t>
      </w:r>
      <w:r>
        <w:rPr>
          <w:sz w:val="18"/>
        </w:rPr>
        <w:t>9</w:t>
      </w:r>
      <w:r w:rsidRPr="004C3EC7">
        <w:rPr>
          <w:sz w:val="18"/>
        </w:rPr>
        <w:t>, 3</w:t>
      </w:r>
      <w:r>
        <w:rPr>
          <w:sz w:val="18"/>
        </w:rPr>
        <w:t>GP</w:t>
      </w:r>
      <w:r w:rsidRPr="004C3EC7">
        <w:rPr>
          <w:sz w:val="18"/>
        </w:rPr>
        <w:t>P</w:t>
      </w:r>
    </w:p>
    <w:p w14:paraId="77158DD7" w14:textId="77777777" w:rsidR="00455B17" w:rsidRDefault="00455B17" w:rsidP="00455B17">
      <w:pPr>
        <w:numPr>
          <w:ilvl w:val="0"/>
          <w:numId w:val="1"/>
        </w:numPr>
        <w:textAlignment w:val="auto"/>
        <w:rPr>
          <w:sz w:val="18"/>
        </w:rPr>
      </w:pPr>
      <w:r>
        <w:rPr>
          <w:sz w:val="18"/>
        </w:rPr>
        <w:t>RAN1 Chairman’s Notes, 3GPP TSG RAN WG1 Ad-hoc #2, 3GPP</w:t>
      </w:r>
    </w:p>
    <w:p w14:paraId="288354F3" w14:textId="686A57A5" w:rsidR="00205F67" w:rsidRPr="00066EE0" w:rsidRDefault="00066EE0" w:rsidP="00066EE0">
      <w:pPr>
        <w:pStyle w:val="references"/>
        <w:numPr>
          <w:ilvl w:val="0"/>
          <w:numId w:val="1"/>
        </w:numPr>
        <w:autoSpaceDE w:val="0"/>
        <w:autoSpaceDN w:val="0"/>
        <w:adjustRightInd w:val="0"/>
        <w:rPr>
          <w:sz w:val="18"/>
          <w:szCs w:val="18"/>
        </w:rPr>
      </w:pPr>
      <w:r w:rsidRPr="00066EE0">
        <w:rPr>
          <w:sz w:val="18"/>
          <w:szCs w:val="18"/>
        </w:rPr>
        <w:t>R1-171</w:t>
      </w:r>
      <w:r w:rsidR="000825E2">
        <w:rPr>
          <w:sz w:val="18"/>
          <w:szCs w:val="18"/>
        </w:rPr>
        <w:t>4061</w:t>
      </w:r>
      <w:r w:rsidR="00205F67" w:rsidRPr="00066EE0">
        <w:rPr>
          <w:sz w:val="18"/>
          <w:szCs w:val="18"/>
        </w:rPr>
        <w:t>, “</w:t>
      </w:r>
      <w:r w:rsidR="00205F67" w:rsidRPr="00066EE0">
        <w:rPr>
          <w:i/>
          <w:sz w:val="18"/>
          <w:szCs w:val="18"/>
        </w:rPr>
        <w:t xml:space="preserve">PDCCH support for multi-beam system”, </w:t>
      </w:r>
      <w:r w:rsidR="00205F67" w:rsidRPr="00066EE0">
        <w:rPr>
          <w:sz w:val="18"/>
          <w:szCs w:val="18"/>
        </w:rPr>
        <w:t xml:space="preserve">Nokia, </w:t>
      </w:r>
      <w:r w:rsidR="000825E2">
        <w:rPr>
          <w:sz w:val="18"/>
          <w:szCs w:val="18"/>
        </w:rPr>
        <w:t>Nokia</w:t>
      </w:r>
      <w:r w:rsidR="00205F67" w:rsidRPr="00066EE0">
        <w:rPr>
          <w:sz w:val="18"/>
          <w:szCs w:val="18"/>
        </w:rPr>
        <w:t xml:space="preserve"> Shanghai Bell</w:t>
      </w:r>
    </w:p>
    <w:p w14:paraId="5B7CC559" w14:textId="77777777" w:rsidR="0096353B" w:rsidRDefault="0096353B" w:rsidP="0096353B">
      <w:pPr>
        <w:pStyle w:val="Heading1"/>
      </w:pPr>
      <w:r>
        <w:t>APPENDIX</w:t>
      </w:r>
    </w:p>
    <w:p w14:paraId="62C1A54D" w14:textId="0846A685" w:rsidR="000F67CF" w:rsidRDefault="000F67CF" w:rsidP="000F67CF">
      <w:pPr>
        <w:jc w:val="both"/>
      </w:pPr>
      <w:r>
        <w:t xml:space="preserve">Figure </w:t>
      </w:r>
      <w:r w:rsidR="00B72A91">
        <w:t>5</w:t>
      </w:r>
      <w:r>
        <w:t xml:space="preserve"> (</w:t>
      </w:r>
      <w:r w:rsidR="00A91E17">
        <w:t>REG bundle size =2</w:t>
      </w:r>
      <w:r>
        <w:t xml:space="preserve">) and Figure </w:t>
      </w:r>
      <w:r w:rsidR="00B72A91">
        <w:t>6</w:t>
      </w:r>
      <w:r>
        <w:t xml:space="preserve"> (</w:t>
      </w:r>
      <w:r w:rsidR="00BB6ADD">
        <w:t>REG bundle size = 6</w:t>
      </w:r>
      <w:r>
        <w:t xml:space="preserve">) compares the PDCCH performance with DMRS density between 1/3 and 1/4. Simulation scenarios are shown in Figure </w:t>
      </w:r>
      <w:r w:rsidR="00B72A91">
        <w:t>7</w:t>
      </w:r>
      <w:r>
        <w:t xml:space="preserve">, and simulation parameters in Table </w:t>
      </w:r>
      <w:r w:rsidR="00B72A91">
        <w:t>2</w:t>
      </w:r>
      <w:r>
        <w:t>, respectively. We consider interleaved REG-to-CCE mapping</w:t>
      </w:r>
      <w:r w:rsidR="009026AD">
        <w:t xml:space="preserve"> and aggregation levels 8 and 16</w:t>
      </w:r>
      <w:r>
        <w:t>. Results show that with highest aggregation levels DMRS overhead of 1/3 provides better perform</w:t>
      </w:r>
      <w:r w:rsidR="00A91E17">
        <w:t>ance compared to DMRS overhead 1/4</w:t>
      </w:r>
      <w:r>
        <w:t>.</w:t>
      </w:r>
    </w:p>
    <w:p w14:paraId="46D3555A" w14:textId="73C29B01" w:rsidR="0096353B" w:rsidRPr="005734C0" w:rsidRDefault="00230A0F" w:rsidP="0096353B">
      <w:pPr>
        <w:jc w:val="center"/>
        <w:rPr>
          <w:color w:val="000000"/>
          <w:lang w:val="en-US"/>
        </w:rPr>
      </w:pPr>
      <w:r w:rsidRPr="00230A0F">
        <w:rPr>
          <w:noProof/>
        </w:rPr>
        <w:lastRenderedPageBreak/>
        <w:drawing>
          <wp:inline distT="0" distB="0" distL="0" distR="0" wp14:anchorId="254C4893" wp14:editId="572E7221">
            <wp:extent cx="3240000" cy="2183068"/>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40000" cy="2183068"/>
                    </a:xfrm>
                    <a:prstGeom prst="rect">
                      <a:avLst/>
                    </a:prstGeom>
                    <a:noFill/>
                    <a:ln>
                      <a:noFill/>
                    </a:ln>
                  </pic:spPr>
                </pic:pic>
              </a:graphicData>
            </a:graphic>
          </wp:inline>
        </w:drawing>
      </w:r>
    </w:p>
    <w:p w14:paraId="347E2C25" w14:textId="20FDEF77" w:rsidR="0096353B" w:rsidRDefault="0096353B" w:rsidP="0096353B">
      <w:pPr>
        <w:pStyle w:val="Caption"/>
        <w:jc w:val="center"/>
      </w:pPr>
      <w:r>
        <w:t xml:space="preserve">Figure </w:t>
      </w:r>
      <w:r>
        <w:fldChar w:fldCharType="begin"/>
      </w:r>
      <w:r>
        <w:instrText xml:space="preserve"> SEQ Figure \* ARABIC </w:instrText>
      </w:r>
      <w:r>
        <w:fldChar w:fldCharType="separate"/>
      </w:r>
      <w:r w:rsidR="00B72A91">
        <w:rPr>
          <w:noProof/>
        </w:rPr>
        <w:t>5</w:t>
      </w:r>
      <w:r>
        <w:fldChar w:fldCharType="end"/>
      </w:r>
      <w:r>
        <w:t xml:space="preserve">. DL control channel performance </w:t>
      </w:r>
      <w:r w:rsidR="009026AD">
        <w:t>with REG bundle size = 2</w:t>
      </w:r>
      <w:r>
        <w:t>.</w:t>
      </w:r>
    </w:p>
    <w:p w14:paraId="67706819" w14:textId="4DD10D18" w:rsidR="0096353B" w:rsidRDefault="0096353B" w:rsidP="0096353B">
      <w:pPr>
        <w:spacing w:after="0"/>
        <w:jc w:val="both"/>
        <w:rPr>
          <w:rFonts w:eastAsia="MS Mincho"/>
          <w:lang w:eastAsia="ja-JP"/>
        </w:rPr>
      </w:pPr>
    </w:p>
    <w:p w14:paraId="67F01E38" w14:textId="2278BEC5" w:rsidR="009026AD" w:rsidRDefault="009026AD" w:rsidP="0096353B">
      <w:pPr>
        <w:spacing w:after="0"/>
        <w:jc w:val="both"/>
        <w:rPr>
          <w:rFonts w:eastAsia="MS Mincho"/>
          <w:lang w:eastAsia="ja-JP"/>
        </w:rPr>
      </w:pPr>
    </w:p>
    <w:p w14:paraId="68D84FA0" w14:textId="6B6592B3" w:rsidR="009026AD" w:rsidRDefault="00230A0F" w:rsidP="009026AD">
      <w:pPr>
        <w:jc w:val="center"/>
        <w:rPr>
          <w:color w:val="000000"/>
          <w:lang w:val="fi-FI"/>
        </w:rPr>
      </w:pPr>
      <w:r w:rsidRPr="00230A0F">
        <w:rPr>
          <w:noProof/>
          <w:color w:val="000000"/>
        </w:rPr>
        <w:drawing>
          <wp:inline distT="0" distB="0" distL="0" distR="0" wp14:anchorId="32B9C810" wp14:editId="12C755B4">
            <wp:extent cx="3240000" cy="2180971"/>
            <wp:effectExtent l="0" t="0" r="0" b="0"/>
            <wp:docPr id="6" name="Content Placeholder 5">
              <a:extLst xmlns:a="http://schemas.openxmlformats.org/drawingml/2006/main">
                <a:ext uri="{FF2B5EF4-FFF2-40B4-BE49-F238E27FC236}">
                  <a16:creationId xmlns:a16="http://schemas.microsoft.com/office/drawing/2014/main" id="{635F4512-CA49-4DE6-950D-1F7F36A9978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635F4512-CA49-4DE6-950D-1F7F36A99782}"/>
                        </a:ext>
                      </a:extLst>
                    </pic:cNvPr>
                    <pic:cNvPicPr>
                      <a:picLocks noGrp="1" noChangeAspect="1"/>
                    </pic:cNvPicPr>
                  </pic:nvPicPr>
                  <pic:blipFill>
                    <a:blip r:embed="rId17"/>
                    <a:stretch>
                      <a:fillRect/>
                    </a:stretch>
                  </pic:blipFill>
                  <pic:spPr bwMode="auto">
                    <a:xfrm>
                      <a:off x="0" y="0"/>
                      <a:ext cx="3240000" cy="2180971"/>
                    </a:xfrm>
                    <a:prstGeom prst="rect">
                      <a:avLst/>
                    </a:prstGeom>
                    <a:noFill/>
                    <a:ln w="9525">
                      <a:noFill/>
                      <a:miter lim="800000"/>
                      <a:headEnd/>
                      <a:tailEnd/>
                    </a:ln>
                  </pic:spPr>
                </pic:pic>
              </a:graphicData>
            </a:graphic>
          </wp:inline>
        </w:drawing>
      </w:r>
    </w:p>
    <w:p w14:paraId="4D739127" w14:textId="5F5C85AC" w:rsidR="009026AD" w:rsidRDefault="009026AD" w:rsidP="009026AD">
      <w:pPr>
        <w:pStyle w:val="Caption"/>
        <w:jc w:val="center"/>
      </w:pPr>
      <w:r>
        <w:t xml:space="preserve">Figure </w:t>
      </w:r>
      <w:r>
        <w:fldChar w:fldCharType="begin"/>
      </w:r>
      <w:r>
        <w:instrText xml:space="preserve"> SEQ Figure \* ARABIC </w:instrText>
      </w:r>
      <w:r>
        <w:fldChar w:fldCharType="separate"/>
      </w:r>
      <w:r w:rsidR="00B72A91">
        <w:rPr>
          <w:noProof/>
        </w:rPr>
        <w:t>6</w:t>
      </w:r>
      <w:r>
        <w:fldChar w:fldCharType="end"/>
      </w:r>
      <w:r>
        <w:t>. DL control channel performance with REG bundle size = 6.</w:t>
      </w:r>
    </w:p>
    <w:p w14:paraId="0D3B3F58" w14:textId="34F9DA27" w:rsidR="009026AD" w:rsidRDefault="009026AD" w:rsidP="0096353B">
      <w:pPr>
        <w:spacing w:after="0"/>
        <w:jc w:val="both"/>
        <w:rPr>
          <w:rFonts w:eastAsia="MS Mincho"/>
          <w:lang w:eastAsia="ja-JP"/>
        </w:rPr>
      </w:pPr>
    </w:p>
    <w:p w14:paraId="7032D312" w14:textId="77777777" w:rsidR="009026AD" w:rsidRDefault="009026AD" w:rsidP="0096353B">
      <w:pPr>
        <w:spacing w:after="0"/>
        <w:jc w:val="both"/>
        <w:rPr>
          <w:rFonts w:eastAsia="MS Mincho"/>
          <w:lang w:eastAsia="ja-JP"/>
        </w:rPr>
      </w:pPr>
    </w:p>
    <w:p w14:paraId="5E566D0F" w14:textId="3374B10B" w:rsidR="0096353B" w:rsidRDefault="00CD27A8" w:rsidP="0096353B">
      <w:pPr>
        <w:jc w:val="both"/>
        <w:rPr>
          <w:rFonts w:eastAsia="MS Mincho"/>
          <w:lang w:val="en-US" w:eastAsia="ja-JP"/>
        </w:rPr>
      </w:pPr>
      <w:r w:rsidRPr="00CD27A8">
        <w:rPr>
          <w:noProof/>
        </w:rPr>
        <w:drawing>
          <wp:inline distT="0" distB="0" distL="0" distR="0" wp14:anchorId="6CA93651" wp14:editId="0A22129A">
            <wp:extent cx="6120765" cy="1878225"/>
            <wp:effectExtent l="0" t="0" r="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1878225"/>
                    </a:xfrm>
                    <a:prstGeom prst="rect">
                      <a:avLst/>
                    </a:prstGeom>
                    <a:noFill/>
                    <a:ln>
                      <a:noFill/>
                    </a:ln>
                  </pic:spPr>
                </pic:pic>
              </a:graphicData>
            </a:graphic>
          </wp:inline>
        </w:drawing>
      </w:r>
    </w:p>
    <w:p w14:paraId="34A2BA75" w14:textId="0F76A4F7" w:rsidR="0096353B" w:rsidRDefault="0096353B" w:rsidP="0096353B">
      <w:pPr>
        <w:pStyle w:val="Caption"/>
        <w:jc w:val="center"/>
        <w:rPr>
          <w:rFonts w:eastAsia="MS Mincho"/>
          <w:lang w:val="en-US" w:eastAsia="ja-JP"/>
        </w:rPr>
      </w:pPr>
      <w:r>
        <w:t xml:space="preserve">Figure </w:t>
      </w:r>
      <w:r>
        <w:fldChar w:fldCharType="begin"/>
      </w:r>
      <w:r>
        <w:instrText xml:space="preserve"> SEQ Figure \* ARABIC </w:instrText>
      </w:r>
      <w:r>
        <w:fldChar w:fldCharType="separate"/>
      </w:r>
      <w:r w:rsidR="00B72A91">
        <w:rPr>
          <w:noProof/>
        </w:rPr>
        <w:t>7</w:t>
      </w:r>
      <w:r>
        <w:fldChar w:fldCharType="end"/>
      </w:r>
      <w:r>
        <w:t>. Simulation scenarios</w:t>
      </w:r>
    </w:p>
    <w:p w14:paraId="61D7E475" w14:textId="77777777" w:rsidR="0096353B" w:rsidRDefault="0096353B" w:rsidP="0096353B">
      <w:pPr>
        <w:spacing w:after="0"/>
        <w:jc w:val="both"/>
        <w:rPr>
          <w:rFonts w:eastAsia="MS Mincho"/>
          <w:lang w:val="en-US" w:eastAsia="ja-JP"/>
        </w:rPr>
      </w:pPr>
    </w:p>
    <w:p w14:paraId="3264410F" w14:textId="0578262B" w:rsidR="0096353B" w:rsidRDefault="0096353B" w:rsidP="0096353B">
      <w:pPr>
        <w:pStyle w:val="Caption"/>
      </w:pPr>
      <w:r>
        <w:t xml:space="preserve">Table </w:t>
      </w:r>
      <w:r w:rsidR="00B72A91">
        <w:t>2</w:t>
      </w:r>
      <w:r>
        <w:t xml:space="preserve"> Simulation parameters</w:t>
      </w:r>
    </w:p>
    <w:tbl>
      <w:tblPr>
        <w:tblW w:w="6091" w:type="dxa"/>
        <w:tblLook w:val="04A0" w:firstRow="1" w:lastRow="0" w:firstColumn="1" w:lastColumn="0" w:noHBand="0" w:noVBand="1"/>
      </w:tblPr>
      <w:tblGrid>
        <w:gridCol w:w="3400"/>
        <w:gridCol w:w="2691"/>
      </w:tblGrid>
      <w:tr w:rsidR="0096353B" w14:paraId="5EBFD850" w14:textId="77777777" w:rsidTr="0096353B">
        <w:trPr>
          <w:trHeight w:val="315"/>
        </w:trPr>
        <w:tc>
          <w:tcPr>
            <w:tcW w:w="34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20AD26" w14:textId="77777777" w:rsidR="0096353B" w:rsidRDefault="0096353B">
            <w:pPr>
              <w:overflowPunct/>
              <w:autoSpaceDE/>
              <w:adjustRightInd/>
              <w:spacing w:after="0"/>
              <w:rPr>
                <w:rFonts w:eastAsia="Times New Roman"/>
                <w:b/>
                <w:bCs/>
                <w:color w:val="000000"/>
                <w:sz w:val="22"/>
                <w:szCs w:val="22"/>
                <w:lang w:val="en-US"/>
              </w:rPr>
            </w:pPr>
            <w:r>
              <w:rPr>
                <w:rFonts w:eastAsia="Times New Roman"/>
                <w:b/>
                <w:bCs/>
                <w:color w:val="000000"/>
                <w:sz w:val="22"/>
                <w:lang w:val="en-US"/>
              </w:rPr>
              <w:t>Parameter</w:t>
            </w:r>
          </w:p>
        </w:tc>
        <w:tc>
          <w:tcPr>
            <w:tcW w:w="2691" w:type="dxa"/>
            <w:tcBorders>
              <w:top w:val="single" w:sz="4" w:space="0" w:color="auto"/>
              <w:left w:val="nil"/>
              <w:bottom w:val="single" w:sz="4" w:space="0" w:color="auto"/>
              <w:right w:val="single" w:sz="4" w:space="0" w:color="auto"/>
            </w:tcBorders>
            <w:shd w:val="clear" w:color="auto" w:fill="D9D9D9"/>
            <w:hideMark/>
          </w:tcPr>
          <w:p w14:paraId="3F9F5655" w14:textId="77777777" w:rsidR="0096353B" w:rsidRDefault="0096353B">
            <w:pPr>
              <w:overflowPunct/>
              <w:autoSpaceDE/>
              <w:adjustRightInd/>
              <w:spacing w:after="0"/>
              <w:rPr>
                <w:rFonts w:eastAsia="Times New Roman"/>
                <w:b/>
                <w:bCs/>
                <w:color w:val="000000"/>
                <w:sz w:val="22"/>
                <w:szCs w:val="22"/>
                <w:lang w:val="en-US"/>
              </w:rPr>
            </w:pPr>
            <w:r>
              <w:rPr>
                <w:rFonts w:eastAsia="Times New Roman"/>
                <w:b/>
                <w:bCs/>
                <w:color w:val="000000"/>
                <w:sz w:val="22"/>
                <w:lang w:val="en-US"/>
              </w:rPr>
              <w:t>Value</w:t>
            </w:r>
          </w:p>
        </w:tc>
      </w:tr>
      <w:tr w:rsidR="0096353B" w14:paraId="20132CEE" w14:textId="77777777" w:rsidTr="0096353B">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00DA6250" w14:textId="77777777" w:rsidR="0096353B" w:rsidRDefault="0096353B">
            <w:pPr>
              <w:overflowPunct/>
              <w:autoSpaceDE/>
              <w:adjustRightInd/>
              <w:spacing w:after="0"/>
              <w:rPr>
                <w:rFonts w:eastAsia="Times New Roman"/>
                <w:color w:val="000000"/>
                <w:sz w:val="22"/>
                <w:szCs w:val="22"/>
                <w:lang w:val="en-US"/>
              </w:rPr>
            </w:pPr>
            <w:r>
              <w:rPr>
                <w:rFonts w:eastAsia="Times New Roman"/>
                <w:bCs/>
                <w:color w:val="000000"/>
                <w:sz w:val="22"/>
                <w:lang w:val="en-US"/>
              </w:rPr>
              <w:t xml:space="preserve">Number of </w:t>
            </w:r>
            <w:proofErr w:type="spellStart"/>
            <w:r>
              <w:rPr>
                <w:rFonts w:eastAsia="Times New Roman"/>
                <w:bCs/>
                <w:color w:val="000000"/>
                <w:sz w:val="22"/>
                <w:lang w:val="en-US"/>
              </w:rPr>
              <w:t>Tx</w:t>
            </w:r>
            <w:proofErr w:type="spellEnd"/>
            <w:r>
              <w:rPr>
                <w:rFonts w:eastAsia="Times New Roman"/>
                <w:bCs/>
                <w:color w:val="000000"/>
                <w:sz w:val="22"/>
                <w:lang w:val="en-US"/>
              </w:rPr>
              <w:t>/Rx antennas</w:t>
            </w:r>
          </w:p>
        </w:tc>
        <w:tc>
          <w:tcPr>
            <w:tcW w:w="2691" w:type="dxa"/>
            <w:tcBorders>
              <w:top w:val="nil"/>
              <w:left w:val="nil"/>
              <w:bottom w:val="single" w:sz="4" w:space="0" w:color="auto"/>
              <w:right w:val="single" w:sz="4" w:space="0" w:color="auto"/>
            </w:tcBorders>
            <w:shd w:val="clear" w:color="auto" w:fill="F2F2F2"/>
            <w:hideMark/>
          </w:tcPr>
          <w:p w14:paraId="54FA4418" w14:textId="77777777" w:rsidR="0096353B" w:rsidRDefault="0096353B">
            <w:pPr>
              <w:overflowPunct/>
              <w:autoSpaceDE/>
              <w:adjustRightInd/>
              <w:spacing w:after="0"/>
              <w:rPr>
                <w:rFonts w:eastAsia="Times New Roman"/>
                <w:color w:val="000000"/>
                <w:sz w:val="22"/>
                <w:szCs w:val="22"/>
                <w:lang w:val="en-US"/>
              </w:rPr>
            </w:pPr>
            <w:r>
              <w:rPr>
                <w:rFonts w:eastAsia="Times New Roman"/>
                <w:color w:val="000000"/>
                <w:sz w:val="22"/>
                <w:lang w:val="en-US"/>
              </w:rPr>
              <w:t>2/2</w:t>
            </w:r>
          </w:p>
        </w:tc>
      </w:tr>
      <w:tr w:rsidR="0096353B" w14:paraId="68F59EE6" w14:textId="77777777" w:rsidTr="0096353B">
        <w:trPr>
          <w:trHeight w:val="300"/>
        </w:trPr>
        <w:tc>
          <w:tcPr>
            <w:tcW w:w="3400" w:type="dxa"/>
            <w:tcBorders>
              <w:top w:val="nil"/>
              <w:left w:val="single" w:sz="4" w:space="0" w:color="auto"/>
              <w:bottom w:val="single" w:sz="4" w:space="0" w:color="auto"/>
              <w:right w:val="single" w:sz="4" w:space="0" w:color="auto"/>
            </w:tcBorders>
            <w:vAlign w:val="center"/>
            <w:hideMark/>
          </w:tcPr>
          <w:p w14:paraId="1AAF6E18" w14:textId="77777777" w:rsidR="0096353B" w:rsidRDefault="0096353B">
            <w:pPr>
              <w:overflowPunct/>
              <w:autoSpaceDE/>
              <w:adjustRightInd/>
              <w:spacing w:after="0"/>
              <w:rPr>
                <w:rFonts w:eastAsia="Times New Roman"/>
                <w:color w:val="000000"/>
                <w:sz w:val="22"/>
                <w:szCs w:val="22"/>
                <w:lang w:val="en-US"/>
              </w:rPr>
            </w:pPr>
            <w:proofErr w:type="spellStart"/>
            <w:r>
              <w:rPr>
                <w:rFonts w:eastAsia="Times New Roman"/>
                <w:bCs/>
                <w:color w:val="000000"/>
                <w:sz w:val="22"/>
                <w:lang w:val="en-US"/>
              </w:rPr>
              <w:t>Tx</w:t>
            </w:r>
            <w:proofErr w:type="spellEnd"/>
            <w:r>
              <w:rPr>
                <w:rFonts w:eastAsia="Times New Roman"/>
                <w:bCs/>
                <w:color w:val="000000"/>
                <w:sz w:val="22"/>
                <w:lang w:val="en-US"/>
              </w:rPr>
              <w:t xml:space="preserve"> diversity method</w:t>
            </w:r>
          </w:p>
        </w:tc>
        <w:tc>
          <w:tcPr>
            <w:tcW w:w="2691" w:type="dxa"/>
            <w:tcBorders>
              <w:top w:val="nil"/>
              <w:left w:val="nil"/>
              <w:bottom w:val="single" w:sz="4" w:space="0" w:color="auto"/>
              <w:right w:val="single" w:sz="4" w:space="0" w:color="auto"/>
            </w:tcBorders>
            <w:hideMark/>
          </w:tcPr>
          <w:p w14:paraId="571F5B12" w14:textId="142DF040" w:rsidR="0096353B" w:rsidRDefault="0096353B" w:rsidP="00C864D4">
            <w:pPr>
              <w:overflowPunct/>
              <w:autoSpaceDE/>
              <w:adjustRightInd/>
              <w:spacing w:after="0"/>
              <w:rPr>
                <w:rFonts w:eastAsia="Times New Roman"/>
                <w:color w:val="000000"/>
                <w:sz w:val="22"/>
                <w:szCs w:val="22"/>
                <w:lang w:val="en-US"/>
              </w:rPr>
            </w:pPr>
            <w:r>
              <w:rPr>
                <w:rFonts w:eastAsia="Times New Roman"/>
                <w:color w:val="000000"/>
                <w:sz w:val="22"/>
                <w:lang w:val="en-US"/>
              </w:rPr>
              <w:t xml:space="preserve">1-AP </w:t>
            </w:r>
            <w:r w:rsidR="00C864D4">
              <w:rPr>
                <w:rFonts w:eastAsia="Times New Roman"/>
                <w:color w:val="000000"/>
                <w:sz w:val="22"/>
                <w:lang w:val="en-US"/>
              </w:rPr>
              <w:t>PC</w:t>
            </w:r>
          </w:p>
        </w:tc>
      </w:tr>
      <w:tr w:rsidR="0096353B" w14:paraId="7C52C605" w14:textId="77777777" w:rsidTr="0096353B">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31DDC3D5" w14:textId="77777777" w:rsidR="0096353B" w:rsidRDefault="0096353B">
            <w:pPr>
              <w:overflowPunct/>
              <w:autoSpaceDE/>
              <w:adjustRightInd/>
              <w:spacing w:after="0"/>
              <w:rPr>
                <w:rFonts w:eastAsia="Times New Roman"/>
                <w:color w:val="000000"/>
                <w:sz w:val="22"/>
                <w:szCs w:val="22"/>
                <w:lang w:val="en-US"/>
              </w:rPr>
            </w:pPr>
            <w:r>
              <w:rPr>
                <w:rFonts w:eastAsia="Times New Roman"/>
                <w:bCs/>
                <w:color w:val="000000"/>
                <w:sz w:val="22"/>
                <w:lang w:val="en-US"/>
              </w:rPr>
              <w:lastRenderedPageBreak/>
              <w:t>Modulation</w:t>
            </w:r>
          </w:p>
        </w:tc>
        <w:tc>
          <w:tcPr>
            <w:tcW w:w="2691" w:type="dxa"/>
            <w:tcBorders>
              <w:top w:val="nil"/>
              <w:left w:val="nil"/>
              <w:bottom w:val="single" w:sz="4" w:space="0" w:color="auto"/>
              <w:right w:val="single" w:sz="4" w:space="0" w:color="auto"/>
            </w:tcBorders>
            <w:shd w:val="clear" w:color="auto" w:fill="F2F2F2"/>
            <w:hideMark/>
          </w:tcPr>
          <w:p w14:paraId="23AE99E6" w14:textId="77777777" w:rsidR="0096353B" w:rsidRDefault="0096353B">
            <w:pPr>
              <w:overflowPunct/>
              <w:autoSpaceDE/>
              <w:adjustRightInd/>
              <w:spacing w:after="0"/>
              <w:rPr>
                <w:rFonts w:eastAsia="Times New Roman"/>
                <w:color w:val="000000"/>
                <w:sz w:val="22"/>
                <w:szCs w:val="22"/>
                <w:lang w:val="en-US"/>
              </w:rPr>
            </w:pPr>
            <w:r>
              <w:rPr>
                <w:rFonts w:eastAsia="Times New Roman"/>
                <w:color w:val="000000"/>
                <w:sz w:val="22"/>
                <w:lang w:val="en-US"/>
              </w:rPr>
              <w:t>QPSK</w:t>
            </w:r>
          </w:p>
        </w:tc>
      </w:tr>
      <w:tr w:rsidR="0096353B" w14:paraId="18480BB9" w14:textId="77777777" w:rsidTr="0096353B">
        <w:trPr>
          <w:trHeight w:val="300"/>
        </w:trPr>
        <w:tc>
          <w:tcPr>
            <w:tcW w:w="3400" w:type="dxa"/>
            <w:tcBorders>
              <w:top w:val="nil"/>
              <w:left w:val="single" w:sz="4" w:space="0" w:color="auto"/>
              <w:bottom w:val="single" w:sz="4" w:space="0" w:color="auto"/>
              <w:right w:val="single" w:sz="4" w:space="0" w:color="auto"/>
            </w:tcBorders>
            <w:vAlign w:val="center"/>
            <w:hideMark/>
          </w:tcPr>
          <w:p w14:paraId="0E83BA3C" w14:textId="77777777" w:rsidR="0096353B" w:rsidRDefault="0096353B">
            <w:pPr>
              <w:overflowPunct/>
              <w:autoSpaceDE/>
              <w:adjustRightInd/>
              <w:spacing w:after="0"/>
              <w:rPr>
                <w:rFonts w:eastAsia="Times New Roman"/>
                <w:color w:val="000000"/>
                <w:sz w:val="22"/>
                <w:szCs w:val="22"/>
                <w:lang w:val="en-US"/>
              </w:rPr>
            </w:pPr>
            <w:r>
              <w:rPr>
                <w:rFonts w:eastAsia="Times New Roman"/>
                <w:bCs/>
                <w:color w:val="000000"/>
                <w:sz w:val="22"/>
                <w:lang w:val="en-US"/>
              </w:rPr>
              <w:t>Channel</w:t>
            </w:r>
          </w:p>
        </w:tc>
        <w:tc>
          <w:tcPr>
            <w:tcW w:w="2691" w:type="dxa"/>
            <w:tcBorders>
              <w:top w:val="nil"/>
              <w:left w:val="nil"/>
              <w:bottom w:val="single" w:sz="4" w:space="0" w:color="auto"/>
              <w:right w:val="single" w:sz="4" w:space="0" w:color="auto"/>
            </w:tcBorders>
            <w:hideMark/>
          </w:tcPr>
          <w:p w14:paraId="6E8C528E" w14:textId="72A8423A" w:rsidR="0096353B" w:rsidRDefault="0096353B">
            <w:pPr>
              <w:overflowPunct/>
              <w:autoSpaceDE/>
              <w:adjustRightInd/>
              <w:spacing w:after="0"/>
              <w:rPr>
                <w:rFonts w:eastAsia="Times New Roman"/>
                <w:color w:val="000000"/>
                <w:sz w:val="22"/>
                <w:szCs w:val="22"/>
                <w:lang w:val="en-US"/>
              </w:rPr>
            </w:pPr>
            <w:r>
              <w:rPr>
                <w:rFonts w:eastAsia="Times New Roman"/>
                <w:color w:val="000000"/>
                <w:sz w:val="22"/>
                <w:lang w:val="en-US"/>
              </w:rPr>
              <w:t>TDL A 30</w:t>
            </w:r>
            <w:r w:rsidR="00CD27A8">
              <w:rPr>
                <w:rFonts w:eastAsia="Times New Roman"/>
                <w:color w:val="000000"/>
                <w:sz w:val="22"/>
                <w:lang w:val="en-US"/>
              </w:rPr>
              <w:t>0</w:t>
            </w:r>
            <w:r>
              <w:rPr>
                <w:rFonts w:eastAsia="Times New Roman"/>
                <w:color w:val="000000"/>
                <w:sz w:val="22"/>
                <w:lang w:val="en-US"/>
              </w:rPr>
              <w:t xml:space="preserve"> ns, 3 km/h</w:t>
            </w:r>
          </w:p>
        </w:tc>
      </w:tr>
      <w:tr w:rsidR="0096353B" w14:paraId="1060D7E8" w14:textId="77777777" w:rsidTr="0096353B">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1EF66EAF" w14:textId="77777777" w:rsidR="0096353B" w:rsidRDefault="0096353B">
            <w:pPr>
              <w:overflowPunct/>
              <w:autoSpaceDE/>
              <w:adjustRightInd/>
              <w:spacing w:after="0"/>
              <w:rPr>
                <w:rFonts w:eastAsia="Times New Roman"/>
                <w:color w:val="000000"/>
                <w:sz w:val="22"/>
                <w:szCs w:val="22"/>
                <w:lang w:val="en-US"/>
              </w:rPr>
            </w:pPr>
            <w:r>
              <w:rPr>
                <w:rFonts w:eastAsia="Times New Roman"/>
                <w:bCs/>
                <w:color w:val="000000"/>
                <w:sz w:val="22"/>
                <w:lang w:val="en-US"/>
              </w:rPr>
              <w:t>Carrier bandwidth</w:t>
            </w:r>
          </w:p>
        </w:tc>
        <w:tc>
          <w:tcPr>
            <w:tcW w:w="2691" w:type="dxa"/>
            <w:tcBorders>
              <w:top w:val="nil"/>
              <w:left w:val="nil"/>
              <w:bottom w:val="single" w:sz="4" w:space="0" w:color="auto"/>
              <w:right w:val="single" w:sz="4" w:space="0" w:color="auto"/>
            </w:tcBorders>
            <w:shd w:val="clear" w:color="auto" w:fill="F2F2F2"/>
            <w:hideMark/>
          </w:tcPr>
          <w:p w14:paraId="6F00E512" w14:textId="77777777" w:rsidR="0096353B" w:rsidRDefault="0096353B">
            <w:pPr>
              <w:overflowPunct/>
              <w:autoSpaceDE/>
              <w:adjustRightInd/>
              <w:spacing w:after="0"/>
              <w:rPr>
                <w:rFonts w:eastAsia="Times New Roman"/>
                <w:color w:val="000000"/>
                <w:sz w:val="22"/>
                <w:szCs w:val="22"/>
                <w:lang w:val="en-US"/>
              </w:rPr>
            </w:pPr>
            <w:r>
              <w:rPr>
                <w:rFonts w:eastAsia="Times New Roman"/>
                <w:color w:val="000000"/>
                <w:sz w:val="22"/>
                <w:lang w:val="en-US"/>
              </w:rPr>
              <w:t>20 MHz</w:t>
            </w:r>
          </w:p>
        </w:tc>
      </w:tr>
      <w:tr w:rsidR="0096353B" w14:paraId="5CC5082A" w14:textId="77777777" w:rsidTr="0096353B">
        <w:trPr>
          <w:trHeight w:val="300"/>
        </w:trPr>
        <w:tc>
          <w:tcPr>
            <w:tcW w:w="3400" w:type="dxa"/>
            <w:tcBorders>
              <w:top w:val="nil"/>
              <w:left w:val="single" w:sz="4" w:space="0" w:color="auto"/>
              <w:bottom w:val="single" w:sz="4" w:space="0" w:color="auto"/>
              <w:right w:val="single" w:sz="4" w:space="0" w:color="auto"/>
            </w:tcBorders>
            <w:vAlign w:val="center"/>
            <w:hideMark/>
          </w:tcPr>
          <w:p w14:paraId="6E479634" w14:textId="77777777" w:rsidR="0096353B" w:rsidRDefault="0096353B">
            <w:pPr>
              <w:overflowPunct/>
              <w:autoSpaceDE/>
              <w:adjustRightInd/>
              <w:spacing w:after="0"/>
              <w:rPr>
                <w:rFonts w:eastAsia="Times New Roman"/>
                <w:color w:val="000000"/>
                <w:sz w:val="22"/>
                <w:szCs w:val="22"/>
                <w:lang w:val="en-US"/>
              </w:rPr>
            </w:pPr>
            <w:r>
              <w:rPr>
                <w:rFonts w:eastAsia="Times New Roman"/>
                <w:bCs/>
                <w:color w:val="000000"/>
                <w:sz w:val="22"/>
                <w:lang w:val="en-US"/>
              </w:rPr>
              <w:t>Carrier frequency</w:t>
            </w:r>
          </w:p>
        </w:tc>
        <w:tc>
          <w:tcPr>
            <w:tcW w:w="2691" w:type="dxa"/>
            <w:tcBorders>
              <w:top w:val="nil"/>
              <w:left w:val="nil"/>
              <w:bottom w:val="single" w:sz="4" w:space="0" w:color="auto"/>
              <w:right w:val="single" w:sz="4" w:space="0" w:color="auto"/>
            </w:tcBorders>
            <w:hideMark/>
          </w:tcPr>
          <w:p w14:paraId="4B5A2833" w14:textId="77777777" w:rsidR="0096353B" w:rsidRDefault="0096353B">
            <w:pPr>
              <w:overflowPunct/>
              <w:autoSpaceDE/>
              <w:adjustRightInd/>
              <w:spacing w:after="0"/>
              <w:rPr>
                <w:rFonts w:eastAsia="Times New Roman"/>
                <w:color w:val="000000"/>
                <w:sz w:val="22"/>
                <w:szCs w:val="22"/>
                <w:lang w:val="en-US"/>
              </w:rPr>
            </w:pPr>
            <w:r>
              <w:rPr>
                <w:rFonts w:eastAsia="Times New Roman"/>
                <w:color w:val="000000"/>
                <w:sz w:val="22"/>
                <w:lang w:val="en-US"/>
              </w:rPr>
              <w:t>4 GHz</w:t>
            </w:r>
          </w:p>
        </w:tc>
      </w:tr>
      <w:tr w:rsidR="0096353B" w14:paraId="09A1504E" w14:textId="77777777" w:rsidTr="0096353B">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0DD712B8" w14:textId="77777777" w:rsidR="0096353B" w:rsidRDefault="0096353B">
            <w:pPr>
              <w:overflowPunct/>
              <w:autoSpaceDE/>
              <w:adjustRightInd/>
              <w:spacing w:after="0"/>
              <w:rPr>
                <w:rFonts w:eastAsia="Times New Roman"/>
                <w:color w:val="000000"/>
                <w:sz w:val="22"/>
                <w:szCs w:val="22"/>
                <w:lang w:val="en-US"/>
              </w:rPr>
            </w:pPr>
            <w:r>
              <w:rPr>
                <w:rFonts w:eastAsia="Times New Roman"/>
                <w:bCs/>
                <w:color w:val="000000"/>
                <w:sz w:val="22"/>
                <w:lang w:val="en-US"/>
              </w:rPr>
              <w:t>Channel estimation method</w:t>
            </w:r>
          </w:p>
        </w:tc>
        <w:tc>
          <w:tcPr>
            <w:tcW w:w="2691" w:type="dxa"/>
            <w:tcBorders>
              <w:top w:val="nil"/>
              <w:left w:val="nil"/>
              <w:bottom w:val="single" w:sz="4" w:space="0" w:color="auto"/>
              <w:right w:val="single" w:sz="4" w:space="0" w:color="auto"/>
            </w:tcBorders>
            <w:shd w:val="clear" w:color="auto" w:fill="F2F2F2"/>
            <w:hideMark/>
          </w:tcPr>
          <w:p w14:paraId="0EF5E00F" w14:textId="77777777" w:rsidR="0096353B" w:rsidRDefault="0096353B">
            <w:pPr>
              <w:overflowPunct/>
              <w:autoSpaceDE/>
              <w:adjustRightInd/>
              <w:spacing w:after="0"/>
              <w:rPr>
                <w:rFonts w:eastAsia="Times New Roman"/>
                <w:color w:val="000000"/>
                <w:sz w:val="22"/>
                <w:szCs w:val="22"/>
                <w:lang w:val="en-US"/>
              </w:rPr>
            </w:pPr>
            <w:r>
              <w:rPr>
                <w:rFonts w:eastAsia="Times New Roman"/>
                <w:color w:val="000000"/>
                <w:sz w:val="22"/>
                <w:lang w:val="en-US"/>
              </w:rPr>
              <w:t xml:space="preserve">MMSE </w:t>
            </w:r>
          </w:p>
        </w:tc>
      </w:tr>
      <w:tr w:rsidR="0096353B" w14:paraId="11050B23" w14:textId="77777777" w:rsidTr="0096353B">
        <w:trPr>
          <w:trHeight w:val="300"/>
        </w:trPr>
        <w:tc>
          <w:tcPr>
            <w:tcW w:w="3400" w:type="dxa"/>
            <w:tcBorders>
              <w:top w:val="nil"/>
              <w:left w:val="single" w:sz="4" w:space="0" w:color="auto"/>
              <w:bottom w:val="single" w:sz="4" w:space="0" w:color="auto"/>
              <w:right w:val="single" w:sz="4" w:space="0" w:color="auto"/>
            </w:tcBorders>
            <w:vAlign w:val="center"/>
            <w:hideMark/>
          </w:tcPr>
          <w:p w14:paraId="0C92844D" w14:textId="77777777" w:rsidR="0096353B" w:rsidRDefault="0096353B">
            <w:pPr>
              <w:overflowPunct/>
              <w:autoSpaceDE/>
              <w:adjustRightInd/>
              <w:spacing w:after="0"/>
              <w:rPr>
                <w:rFonts w:eastAsia="Times New Roman"/>
                <w:color w:val="000000"/>
                <w:sz w:val="22"/>
                <w:szCs w:val="22"/>
                <w:lang w:val="en-US"/>
              </w:rPr>
            </w:pPr>
            <w:r>
              <w:rPr>
                <w:rFonts w:eastAsia="Times New Roman"/>
                <w:bCs/>
                <w:color w:val="000000"/>
                <w:sz w:val="22"/>
                <w:lang w:val="en-US"/>
              </w:rPr>
              <w:t>Channel coding</w:t>
            </w:r>
          </w:p>
        </w:tc>
        <w:tc>
          <w:tcPr>
            <w:tcW w:w="2691" w:type="dxa"/>
            <w:tcBorders>
              <w:top w:val="nil"/>
              <w:left w:val="nil"/>
              <w:bottom w:val="single" w:sz="4" w:space="0" w:color="auto"/>
              <w:right w:val="single" w:sz="4" w:space="0" w:color="auto"/>
            </w:tcBorders>
            <w:hideMark/>
          </w:tcPr>
          <w:p w14:paraId="6BEA27C8" w14:textId="3838B5EE" w:rsidR="0096353B" w:rsidRDefault="00CD27A8">
            <w:pPr>
              <w:overflowPunct/>
              <w:autoSpaceDE/>
              <w:adjustRightInd/>
              <w:spacing w:after="0"/>
              <w:rPr>
                <w:rFonts w:eastAsia="Times New Roman"/>
                <w:color w:val="000000"/>
                <w:sz w:val="22"/>
                <w:szCs w:val="22"/>
                <w:lang w:val="en-US"/>
              </w:rPr>
            </w:pPr>
            <w:r>
              <w:rPr>
                <w:rFonts w:eastAsia="Times New Roman"/>
                <w:color w:val="000000"/>
                <w:sz w:val="22"/>
                <w:lang w:val="en-US"/>
              </w:rPr>
              <w:t>Polar</w:t>
            </w:r>
          </w:p>
        </w:tc>
      </w:tr>
      <w:tr w:rsidR="0096353B" w14:paraId="3B85D5E0" w14:textId="77777777" w:rsidTr="0096353B">
        <w:trPr>
          <w:trHeight w:val="300"/>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0988EB5A" w14:textId="77777777" w:rsidR="0096353B" w:rsidRDefault="0096353B">
            <w:pPr>
              <w:overflowPunct/>
              <w:autoSpaceDE/>
              <w:adjustRightInd/>
              <w:spacing w:after="0"/>
              <w:rPr>
                <w:rFonts w:eastAsia="Times New Roman"/>
                <w:color w:val="000000"/>
                <w:sz w:val="22"/>
                <w:szCs w:val="22"/>
                <w:lang w:val="en-US"/>
              </w:rPr>
            </w:pPr>
            <w:r>
              <w:rPr>
                <w:rFonts w:eastAsia="Times New Roman"/>
                <w:bCs/>
                <w:color w:val="000000"/>
                <w:sz w:val="22"/>
                <w:lang w:val="en-US"/>
              </w:rPr>
              <w:t>Number of coded Bits</w:t>
            </w:r>
          </w:p>
        </w:tc>
        <w:tc>
          <w:tcPr>
            <w:tcW w:w="2691" w:type="dxa"/>
            <w:tcBorders>
              <w:top w:val="nil"/>
              <w:left w:val="nil"/>
              <w:bottom w:val="single" w:sz="4" w:space="0" w:color="auto"/>
              <w:right w:val="single" w:sz="4" w:space="0" w:color="auto"/>
            </w:tcBorders>
            <w:shd w:val="clear" w:color="auto" w:fill="F2F2F2"/>
            <w:hideMark/>
          </w:tcPr>
          <w:p w14:paraId="64B9808F" w14:textId="3FE75EA2" w:rsidR="0096353B" w:rsidRDefault="00230A0F">
            <w:pPr>
              <w:overflowPunct/>
              <w:autoSpaceDE/>
              <w:adjustRightInd/>
              <w:spacing w:after="0"/>
              <w:rPr>
                <w:rFonts w:eastAsia="Times New Roman"/>
                <w:color w:val="000000"/>
                <w:sz w:val="22"/>
                <w:szCs w:val="22"/>
                <w:lang w:val="en-US"/>
              </w:rPr>
            </w:pPr>
            <w:r>
              <w:rPr>
                <w:rFonts w:eastAsia="Times New Roman"/>
                <w:color w:val="000000"/>
                <w:sz w:val="22"/>
                <w:lang w:val="en-US"/>
              </w:rPr>
              <w:t>[15, 20]</w:t>
            </w:r>
            <w:r w:rsidR="009026AD">
              <w:rPr>
                <w:rFonts w:eastAsia="Times New Roman"/>
                <w:color w:val="000000"/>
                <w:sz w:val="22"/>
                <w:lang w:val="en-US"/>
              </w:rPr>
              <w:t xml:space="preserve"> </w:t>
            </w:r>
            <w:r w:rsidR="00CD27A8">
              <w:rPr>
                <w:rFonts w:eastAsia="Times New Roman"/>
                <w:color w:val="000000"/>
                <w:sz w:val="22"/>
                <w:lang w:val="en-US"/>
              </w:rPr>
              <w:t>+24</w:t>
            </w:r>
            <w:r w:rsidR="0096353B">
              <w:rPr>
                <w:rFonts w:eastAsia="Times New Roman"/>
                <w:color w:val="000000"/>
                <w:sz w:val="22"/>
                <w:lang w:val="en-US"/>
              </w:rPr>
              <w:t xml:space="preserve"> CRC</w:t>
            </w:r>
          </w:p>
        </w:tc>
      </w:tr>
      <w:tr w:rsidR="0096353B" w14:paraId="1368D8AB" w14:textId="77777777" w:rsidTr="00783ACA">
        <w:trPr>
          <w:trHeight w:val="315"/>
        </w:trPr>
        <w:tc>
          <w:tcPr>
            <w:tcW w:w="3400" w:type="dxa"/>
            <w:tcBorders>
              <w:top w:val="nil"/>
              <w:left w:val="single" w:sz="4" w:space="0" w:color="auto"/>
              <w:bottom w:val="single" w:sz="4" w:space="0" w:color="auto"/>
              <w:right w:val="single" w:sz="4" w:space="0" w:color="auto"/>
            </w:tcBorders>
            <w:shd w:val="clear" w:color="auto" w:fill="F2F2F2"/>
            <w:vAlign w:val="center"/>
            <w:hideMark/>
          </w:tcPr>
          <w:p w14:paraId="186AC9BE" w14:textId="77777777" w:rsidR="0096353B" w:rsidRDefault="0096353B">
            <w:pPr>
              <w:overflowPunct/>
              <w:autoSpaceDE/>
              <w:adjustRightInd/>
              <w:spacing w:after="0"/>
              <w:rPr>
                <w:rFonts w:eastAsia="Times New Roman"/>
                <w:color w:val="000000"/>
                <w:sz w:val="22"/>
                <w:szCs w:val="22"/>
                <w:lang w:val="en-US"/>
              </w:rPr>
            </w:pPr>
            <w:r>
              <w:rPr>
                <w:rFonts w:eastAsia="Times New Roman"/>
                <w:color w:val="000000"/>
                <w:sz w:val="22"/>
                <w:szCs w:val="22"/>
              </w:rPr>
              <w:t>Subcarrier spacing</w:t>
            </w:r>
          </w:p>
        </w:tc>
        <w:tc>
          <w:tcPr>
            <w:tcW w:w="2691" w:type="dxa"/>
            <w:tcBorders>
              <w:top w:val="nil"/>
              <w:left w:val="nil"/>
              <w:bottom w:val="single" w:sz="4" w:space="0" w:color="auto"/>
              <w:right w:val="single" w:sz="4" w:space="0" w:color="auto"/>
            </w:tcBorders>
            <w:shd w:val="clear" w:color="auto" w:fill="F2F2F2"/>
            <w:vAlign w:val="center"/>
            <w:hideMark/>
          </w:tcPr>
          <w:p w14:paraId="53CA4FEB" w14:textId="77777777" w:rsidR="0096353B" w:rsidRDefault="0096353B">
            <w:pPr>
              <w:overflowPunct/>
              <w:autoSpaceDE/>
              <w:adjustRightInd/>
              <w:spacing w:after="0"/>
              <w:rPr>
                <w:rFonts w:eastAsia="Times New Roman"/>
                <w:color w:val="000000"/>
                <w:sz w:val="22"/>
                <w:szCs w:val="22"/>
                <w:lang w:val="en-US"/>
              </w:rPr>
            </w:pPr>
            <w:r>
              <w:rPr>
                <w:rFonts w:eastAsia="Times New Roman"/>
                <w:color w:val="000000"/>
                <w:sz w:val="22"/>
                <w:szCs w:val="22"/>
              </w:rPr>
              <w:t>15 kHz</w:t>
            </w:r>
          </w:p>
        </w:tc>
      </w:tr>
      <w:tr w:rsidR="0096353B" w14:paraId="5566C802" w14:textId="77777777" w:rsidTr="00783ACA">
        <w:trPr>
          <w:trHeight w:val="300"/>
        </w:trPr>
        <w:tc>
          <w:tcPr>
            <w:tcW w:w="3400" w:type="dxa"/>
            <w:tcBorders>
              <w:top w:val="single" w:sz="4" w:space="0" w:color="auto"/>
              <w:left w:val="single" w:sz="4" w:space="0" w:color="auto"/>
              <w:bottom w:val="single" w:sz="4" w:space="0" w:color="auto"/>
              <w:right w:val="single" w:sz="4" w:space="0" w:color="auto"/>
            </w:tcBorders>
            <w:vAlign w:val="center"/>
            <w:hideMark/>
          </w:tcPr>
          <w:p w14:paraId="384CD9FC" w14:textId="77777777" w:rsidR="0096353B" w:rsidRDefault="0096353B">
            <w:pPr>
              <w:overflowPunct/>
              <w:autoSpaceDE/>
              <w:adjustRightInd/>
              <w:spacing w:after="0"/>
              <w:rPr>
                <w:rFonts w:eastAsia="Times New Roman"/>
                <w:color w:val="000000"/>
                <w:sz w:val="22"/>
                <w:szCs w:val="22"/>
                <w:lang w:val="en-US"/>
              </w:rPr>
            </w:pPr>
            <w:r>
              <w:rPr>
                <w:rFonts w:eastAsia="Times New Roman"/>
                <w:color w:val="000000"/>
                <w:sz w:val="22"/>
                <w:szCs w:val="22"/>
              </w:rPr>
              <w:t>DMRS overhead</w:t>
            </w:r>
          </w:p>
        </w:tc>
        <w:tc>
          <w:tcPr>
            <w:tcW w:w="2691" w:type="dxa"/>
            <w:tcBorders>
              <w:top w:val="single" w:sz="4" w:space="0" w:color="auto"/>
              <w:left w:val="nil"/>
              <w:bottom w:val="single" w:sz="4" w:space="0" w:color="auto"/>
              <w:right w:val="single" w:sz="4" w:space="0" w:color="auto"/>
            </w:tcBorders>
            <w:vAlign w:val="center"/>
            <w:hideMark/>
          </w:tcPr>
          <w:p w14:paraId="7753656C" w14:textId="284A4255" w:rsidR="0096353B" w:rsidRDefault="0096353B">
            <w:pPr>
              <w:overflowPunct/>
              <w:autoSpaceDE/>
              <w:adjustRightInd/>
              <w:spacing w:after="0"/>
              <w:rPr>
                <w:rFonts w:eastAsia="Times New Roman"/>
                <w:color w:val="000000"/>
                <w:sz w:val="22"/>
                <w:szCs w:val="22"/>
                <w:lang w:val="en-US"/>
              </w:rPr>
            </w:pPr>
            <w:r>
              <w:rPr>
                <w:rFonts w:eastAsia="Times New Roman"/>
                <w:color w:val="000000"/>
                <w:sz w:val="22"/>
                <w:szCs w:val="22"/>
              </w:rPr>
              <w:t>33%</w:t>
            </w:r>
            <w:r w:rsidR="00CD27A8">
              <w:rPr>
                <w:rFonts w:eastAsia="Times New Roman"/>
                <w:color w:val="000000"/>
                <w:sz w:val="22"/>
                <w:szCs w:val="22"/>
              </w:rPr>
              <w:t>, 25%</w:t>
            </w:r>
          </w:p>
        </w:tc>
      </w:tr>
      <w:tr w:rsidR="00783ACA" w14:paraId="4380B31A" w14:textId="77777777" w:rsidTr="00783ACA">
        <w:trPr>
          <w:trHeight w:val="300"/>
        </w:trPr>
        <w:tc>
          <w:tcPr>
            <w:tcW w:w="3400" w:type="dxa"/>
            <w:tcBorders>
              <w:top w:val="single" w:sz="4" w:space="0" w:color="auto"/>
              <w:left w:val="single" w:sz="4" w:space="0" w:color="auto"/>
              <w:bottom w:val="single" w:sz="4" w:space="0" w:color="auto"/>
              <w:right w:val="single" w:sz="4" w:space="0" w:color="auto"/>
            </w:tcBorders>
            <w:vAlign w:val="center"/>
          </w:tcPr>
          <w:p w14:paraId="7055B3DA" w14:textId="3CCEAABD" w:rsidR="00783ACA" w:rsidRDefault="00783ACA">
            <w:pPr>
              <w:overflowPunct/>
              <w:autoSpaceDE/>
              <w:adjustRightInd/>
              <w:spacing w:after="0"/>
              <w:rPr>
                <w:rFonts w:eastAsia="Times New Roman"/>
                <w:color w:val="000000"/>
                <w:sz w:val="22"/>
                <w:szCs w:val="22"/>
              </w:rPr>
            </w:pPr>
            <w:r>
              <w:rPr>
                <w:rFonts w:eastAsia="Times New Roman"/>
                <w:color w:val="000000"/>
                <w:sz w:val="22"/>
                <w:szCs w:val="22"/>
              </w:rPr>
              <w:t xml:space="preserve">CORESET </w:t>
            </w:r>
            <w:r w:rsidR="00CD27A8">
              <w:rPr>
                <w:rFonts w:eastAsia="Times New Roman"/>
                <w:color w:val="000000"/>
                <w:sz w:val="22"/>
                <w:szCs w:val="22"/>
              </w:rPr>
              <w:t>length</w:t>
            </w:r>
          </w:p>
        </w:tc>
        <w:tc>
          <w:tcPr>
            <w:tcW w:w="2691" w:type="dxa"/>
            <w:tcBorders>
              <w:top w:val="single" w:sz="4" w:space="0" w:color="auto"/>
              <w:left w:val="nil"/>
              <w:bottom w:val="single" w:sz="4" w:space="0" w:color="auto"/>
              <w:right w:val="single" w:sz="4" w:space="0" w:color="auto"/>
            </w:tcBorders>
            <w:vAlign w:val="center"/>
          </w:tcPr>
          <w:p w14:paraId="22E19793" w14:textId="67542666" w:rsidR="00783ACA" w:rsidRDefault="00783ACA">
            <w:pPr>
              <w:overflowPunct/>
              <w:autoSpaceDE/>
              <w:adjustRightInd/>
              <w:spacing w:after="0"/>
              <w:rPr>
                <w:rFonts w:eastAsia="Times New Roman"/>
                <w:color w:val="000000"/>
                <w:sz w:val="22"/>
                <w:szCs w:val="22"/>
              </w:rPr>
            </w:pPr>
            <w:r>
              <w:rPr>
                <w:rFonts w:eastAsia="Times New Roman"/>
                <w:color w:val="000000"/>
                <w:sz w:val="22"/>
                <w:szCs w:val="22"/>
              </w:rPr>
              <w:t>1 OFDM symbol</w:t>
            </w:r>
          </w:p>
        </w:tc>
      </w:tr>
    </w:tbl>
    <w:p w14:paraId="6313E498" w14:textId="77777777" w:rsidR="0096353B" w:rsidRDefault="0096353B" w:rsidP="0096353B">
      <w:pPr>
        <w:ind w:left="357"/>
        <w:rPr>
          <w:sz w:val="18"/>
        </w:rPr>
      </w:pPr>
    </w:p>
    <w:p w14:paraId="0D357C54" w14:textId="77777777" w:rsidR="0096353B" w:rsidRDefault="0096353B" w:rsidP="0096353B">
      <w:pPr>
        <w:spacing w:after="0"/>
        <w:jc w:val="both"/>
        <w:rPr>
          <w:sz w:val="18"/>
        </w:rPr>
      </w:pPr>
    </w:p>
    <w:p w14:paraId="57EF6593" w14:textId="77777777" w:rsidR="0096353B" w:rsidRDefault="0096353B" w:rsidP="0096353B">
      <w:pPr>
        <w:rPr>
          <w:sz w:val="18"/>
        </w:rPr>
      </w:pPr>
    </w:p>
    <w:p w14:paraId="3C460F08" w14:textId="77777777" w:rsidR="0096353B" w:rsidRPr="00066EE0" w:rsidRDefault="0096353B" w:rsidP="005907D2">
      <w:pPr>
        <w:ind w:left="357"/>
        <w:rPr>
          <w:sz w:val="18"/>
          <w:lang w:val="en-US"/>
        </w:rPr>
      </w:pPr>
    </w:p>
    <w:sectPr w:rsidR="0096353B" w:rsidRPr="00066EE0" w:rsidSect="000131D1">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310A6" w14:textId="77777777" w:rsidR="00994617" w:rsidRDefault="00994617">
      <w:r>
        <w:separator/>
      </w:r>
    </w:p>
  </w:endnote>
  <w:endnote w:type="continuationSeparator" w:id="0">
    <w:p w14:paraId="59010C1A" w14:textId="77777777" w:rsidR="00994617" w:rsidRDefault="00994617">
      <w:r>
        <w:continuationSeparator/>
      </w:r>
    </w:p>
  </w:endnote>
  <w:endnote w:type="continuationNotice" w:id="1">
    <w:p w14:paraId="0957E422" w14:textId="77777777" w:rsidR="00994617" w:rsidRDefault="009946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FB4407" w:rsidRDefault="00FB4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37C2D" w14:textId="77777777" w:rsidR="00994617" w:rsidRDefault="00994617">
      <w:r>
        <w:separator/>
      </w:r>
    </w:p>
  </w:footnote>
  <w:footnote w:type="continuationSeparator" w:id="0">
    <w:p w14:paraId="3A122929" w14:textId="77777777" w:rsidR="00994617" w:rsidRDefault="00994617">
      <w:r>
        <w:continuationSeparator/>
      </w:r>
    </w:p>
  </w:footnote>
  <w:footnote w:type="continuationNotice" w:id="1">
    <w:p w14:paraId="57C3B211" w14:textId="77777777" w:rsidR="00994617" w:rsidRDefault="009946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FB4407" w:rsidRDefault="00FB44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8"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
  </w:num>
  <w:num w:numId="4">
    <w:abstractNumId w:val="10"/>
  </w:num>
  <w:num w:numId="5">
    <w:abstractNumId w:val="6"/>
  </w:num>
  <w:num w:numId="6">
    <w:abstractNumId w:val="12"/>
  </w:num>
  <w:num w:numId="7">
    <w:abstractNumId w:val="0"/>
  </w:num>
  <w:num w:numId="8">
    <w:abstractNumId w:val="7"/>
  </w:num>
  <w:num w:numId="9">
    <w:abstractNumId w:val="9"/>
  </w:num>
  <w:num w:numId="10">
    <w:abstractNumId w:val="2"/>
  </w:num>
  <w:num w:numId="11">
    <w:abstractNumId w:val="8"/>
  </w:num>
  <w:num w:numId="12">
    <w:abstractNumId w:val="4"/>
  </w:num>
  <w:num w:numId="1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FA9"/>
    <w:rsid w:val="000021F9"/>
    <w:rsid w:val="00004AC8"/>
    <w:rsid w:val="00006055"/>
    <w:rsid w:val="00006AD4"/>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5BE"/>
    <w:rsid w:val="00021662"/>
    <w:rsid w:val="00023742"/>
    <w:rsid w:val="00024AEF"/>
    <w:rsid w:val="00026C65"/>
    <w:rsid w:val="00027755"/>
    <w:rsid w:val="000277A9"/>
    <w:rsid w:val="00030048"/>
    <w:rsid w:val="0003072D"/>
    <w:rsid w:val="000314CD"/>
    <w:rsid w:val="00032D37"/>
    <w:rsid w:val="00033544"/>
    <w:rsid w:val="0003479E"/>
    <w:rsid w:val="0003484F"/>
    <w:rsid w:val="00035691"/>
    <w:rsid w:val="00035AE0"/>
    <w:rsid w:val="0004132D"/>
    <w:rsid w:val="00041358"/>
    <w:rsid w:val="000425C9"/>
    <w:rsid w:val="00044CFA"/>
    <w:rsid w:val="000459C7"/>
    <w:rsid w:val="00046630"/>
    <w:rsid w:val="00046C80"/>
    <w:rsid w:val="00046DD1"/>
    <w:rsid w:val="000479CE"/>
    <w:rsid w:val="00047FFA"/>
    <w:rsid w:val="00050112"/>
    <w:rsid w:val="00050466"/>
    <w:rsid w:val="000505CC"/>
    <w:rsid w:val="000511F9"/>
    <w:rsid w:val="0005151E"/>
    <w:rsid w:val="0005230E"/>
    <w:rsid w:val="00052850"/>
    <w:rsid w:val="000528A2"/>
    <w:rsid w:val="00052BBA"/>
    <w:rsid w:val="00054D9D"/>
    <w:rsid w:val="00055676"/>
    <w:rsid w:val="00056544"/>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5FDA"/>
    <w:rsid w:val="00076386"/>
    <w:rsid w:val="00076D82"/>
    <w:rsid w:val="00081EC2"/>
    <w:rsid w:val="000823FE"/>
    <w:rsid w:val="000825E2"/>
    <w:rsid w:val="00082B41"/>
    <w:rsid w:val="00083800"/>
    <w:rsid w:val="00084A65"/>
    <w:rsid w:val="00085090"/>
    <w:rsid w:val="00091A92"/>
    <w:rsid w:val="00093C49"/>
    <w:rsid w:val="00095A80"/>
    <w:rsid w:val="000973C8"/>
    <w:rsid w:val="000973E1"/>
    <w:rsid w:val="000A1402"/>
    <w:rsid w:val="000A20BA"/>
    <w:rsid w:val="000A262C"/>
    <w:rsid w:val="000A38C0"/>
    <w:rsid w:val="000A3C8D"/>
    <w:rsid w:val="000A40EA"/>
    <w:rsid w:val="000A40EC"/>
    <w:rsid w:val="000A54EE"/>
    <w:rsid w:val="000A6A23"/>
    <w:rsid w:val="000A7BC5"/>
    <w:rsid w:val="000B0C45"/>
    <w:rsid w:val="000B0E07"/>
    <w:rsid w:val="000B16DB"/>
    <w:rsid w:val="000B1C5E"/>
    <w:rsid w:val="000B2282"/>
    <w:rsid w:val="000B2A11"/>
    <w:rsid w:val="000B2A5B"/>
    <w:rsid w:val="000B3B91"/>
    <w:rsid w:val="000B5AC9"/>
    <w:rsid w:val="000B5F0A"/>
    <w:rsid w:val="000B7043"/>
    <w:rsid w:val="000C1D59"/>
    <w:rsid w:val="000C347C"/>
    <w:rsid w:val="000C4AEB"/>
    <w:rsid w:val="000C501D"/>
    <w:rsid w:val="000C74BA"/>
    <w:rsid w:val="000C7531"/>
    <w:rsid w:val="000C7C3F"/>
    <w:rsid w:val="000D0BD6"/>
    <w:rsid w:val="000D0C61"/>
    <w:rsid w:val="000D27AD"/>
    <w:rsid w:val="000D29D1"/>
    <w:rsid w:val="000D2B0A"/>
    <w:rsid w:val="000D3286"/>
    <w:rsid w:val="000D344D"/>
    <w:rsid w:val="000D40E7"/>
    <w:rsid w:val="000D584F"/>
    <w:rsid w:val="000D6DCC"/>
    <w:rsid w:val="000D794A"/>
    <w:rsid w:val="000E071E"/>
    <w:rsid w:val="000E27AA"/>
    <w:rsid w:val="000E337A"/>
    <w:rsid w:val="000E3456"/>
    <w:rsid w:val="000E4350"/>
    <w:rsid w:val="000E4408"/>
    <w:rsid w:val="000E5716"/>
    <w:rsid w:val="000E75EA"/>
    <w:rsid w:val="000E7A79"/>
    <w:rsid w:val="000F0E97"/>
    <w:rsid w:val="000F15B2"/>
    <w:rsid w:val="000F19DE"/>
    <w:rsid w:val="000F2E1F"/>
    <w:rsid w:val="000F37B0"/>
    <w:rsid w:val="000F4595"/>
    <w:rsid w:val="000F46C5"/>
    <w:rsid w:val="000F4CB2"/>
    <w:rsid w:val="000F568D"/>
    <w:rsid w:val="000F6351"/>
    <w:rsid w:val="000F67CF"/>
    <w:rsid w:val="00101C4F"/>
    <w:rsid w:val="00102C9F"/>
    <w:rsid w:val="001036C8"/>
    <w:rsid w:val="001068D2"/>
    <w:rsid w:val="001103BD"/>
    <w:rsid w:val="00111208"/>
    <w:rsid w:val="00111808"/>
    <w:rsid w:val="0011339F"/>
    <w:rsid w:val="00114E96"/>
    <w:rsid w:val="00115828"/>
    <w:rsid w:val="0011644A"/>
    <w:rsid w:val="00117332"/>
    <w:rsid w:val="001204DD"/>
    <w:rsid w:val="00122839"/>
    <w:rsid w:val="001237AC"/>
    <w:rsid w:val="00123FC0"/>
    <w:rsid w:val="00124665"/>
    <w:rsid w:val="00124DAF"/>
    <w:rsid w:val="00124E12"/>
    <w:rsid w:val="0012673D"/>
    <w:rsid w:val="001269B8"/>
    <w:rsid w:val="00127099"/>
    <w:rsid w:val="00132B71"/>
    <w:rsid w:val="0013427A"/>
    <w:rsid w:val="001362C2"/>
    <w:rsid w:val="00136955"/>
    <w:rsid w:val="00136E19"/>
    <w:rsid w:val="001371B2"/>
    <w:rsid w:val="00137873"/>
    <w:rsid w:val="00137D78"/>
    <w:rsid w:val="001409A0"/>
    <w:rsid w:val="00141125"/>
    <w:rsid w:val="00141F08"/>
    <w:rsid w:val="00141FF2"/>
    <w:rsid w:val="0014287A"/>
    <w:rsid w:val="00142DE2"/>
    <w:rsid w:val="00144C87"/>
    <w:rsid w:val="001467B1"/>
    <w:rsid w:val="00150175"/>
    <w:rsid w:val="001502C8"/>
    <w:rsid w:val="0015130F"/>
    <w:rsid w:val="00151892"/>
    <w:rsid w:val="001540E4"/>
    <w:rsid w:val="00155464"/>
    <w:rsid w:val="00155BFD"/>
    <w:rsid w:val="00157390"/>
    <w:rsid w:val="00160998"/>
    <w:rsid w:val="00160CD6"/>
    <w:rsid w:val="0016316A"/>
    <w:rsid w:val="00164171"/>
    <w:rsid w:val="00164E58"/>
    <w:rsid w:val="00165033"/>
    <w:rsid w:val="00165B18"/>
    <w:rsid w:val="001670EA"/>
    <w:rsid w:val="001674A0"/>
    <w:rsid w:val="00170A50"/>
    <w:rsid w:val="00171F0C"/>
    <w:rsid w:val="00174FFD"/>
    <w:rsid w:val="001759CA"/>
    <w:rsid w:val="0017726A"/>
    <w:rsid w:val="00177B88"/>
    <w:rsid w:val="00177DD3"/>
    <w:rsid w:val="00180278"/>
    <w:rsid w:val="001818A7"/>
    <w:rsid w:val="00182725"/>
    <w:rsid w:val="001829C8"/>
    <w:rsid w:val="00182CA0"/>
    <w:rsid w:val="00183FB0"/>
    <w:rsid w:val="00184098"/>
    <w:rsid w:val="00185D8A"/>
    <w:rsid w:val="00186904"/>
    <w:rsid w:val="00186B0A"/>
    <w:rsid w:val="001905BD"/>
    <w:rsid w:val="001925BD"/>
    <w:rsid w:val="00192FE6"/>
    <w:rsid w:val="00193986"/>
    <w:rsid w:val="00193B08"/>
    <w:rsid w:val="0019435C"/>
    <w:rsid w:val="00194570"/>
    <w:rsid w:val="00196BF4"/>
    <w:rsid w:val="001972DA"/>
    <w:rsid w:val="001976AA"/>
    <w:rsid w:val="001A02F6"/>
    <w:rsid w:val="001A15C6"/>
    <w:rsid w:val="001A5E19"/>
    <w:rsid w:val="001B01FA"/>
    <w:rsid w:val="001B0832"/>
    <w:rsid w:val="001B10F3"/>
    <w:rsid w:val="001B18A7"/>
    <w:rsid w:val="001B1D02"/>
    <w:rsid w:val="001B25D9"/>
    <w:rsid w:val="001B2762"/>
    <w:rsid w:val="001B36FC"/>
    <w:rsid w:val="001B41ED"/>
    <w:rsid w:val="001B4607"/>
    <w:rsid w:val="001B4F86"/>
    <w:rsid w:val="001B69CA"/>
    <w:rsid w:val="001B7E0C"/>
    <w:rsid w:val="001C0674"/>
    <w:rsid w:val="001C226F"/>
    <w:rsid w:val="001C4130"/>
    <w:rsid w:val="001C52F3"/>
    <w:rsid w:val="001C66AC"/>
    <w:rsid w:val="001C6754"/>
    <w:rsid w:val="001C77F0"/>
    <w:rsid w:val="001C7A39"/>
    <w:rsid w:val="001D1B8A"/>
    <w:rsid w:val="001D2304"/>
    <w:rsid w:val="001D2B7D"/>
    <w:rsid w:val="001D46A0"/>
    <w:rsid w:val="001D4E22"/>
    <w:rsid w:val="001D5FB0"/>
    <w:rsid w:val="001D7CA4"/>
    <w:rsid w:val="001D7E58"/>
    <w:rsid w:val="001E1791"/>
    <w:rsid w:val="001E30A0"/>
    <w:rsid w:val="001E3F75"/>
    <w:rsid w:val="001E4D4F"/>
    <w:rsid w:val="001E57CF"/>
    <w:rsid w:val="001E5981"/>
    <w:rsid w:val="001E74BA"/>
    <w:rsid w:val="001E7B9F"/>
    <w:rsid w:val="001F01FB"/>
    <w:rsid w:val="001F0658"/>
    <w:rsid w:val="001F0E92"/>
    <w:rsid w:val="001F1306"/>
    <w:rsid w:val="001F1987"/>
    <w:rsid w:val="001F23BD"/>
    <w:rsid w:val="001F34DA"/>
    <w:rsid w:val="001F4DAC"/>
    <w:rsid w:val="001F5019"/>
    <w:rsid w:val="001F53CA"/>
    <w:rsid w:val="001F650F"/>
    <w:rsid w:val="001F67AA"/>
    <w:rsid w:val="001F7599"/>
    <w:rsid w:val="00204B3A"/>
    <w:rsid w:val="00204E26"/>
    <w:rsid w:val="0020535A"/>
    <w:rsid w:val="00205F67"/>
    <w:rsid w:val="00206955"/>
    <w:rsid w:val="00210309"/>
    <w:rsid w:val="00212FB8"/>
    <w:rsid w:val="00213709"/>
    <w:rsid w:val="002149AF"/>
    <w:rsid w:val="00214A86"/>
    <w:rsid w:val="00215AAA"/>
    <w:rsid w:val="0021683C"/>
    <w:rsid w:val="00221985"/>
    <w:rsid w:val="00221EC5"/>
    <w:rsid w:val="00222A7A"/>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77DF"/>
    <w:rsid w:val="00250726"/>
    <w:rsid w:val="0025074A"/>
    <w:rsid w:val="00251AD6"/>
    <w:rsid w:val="00252BBC"/>
    <w:rsid w:val="00252C17"/>
    <w:rsid w:val="0025307F"/>
    <w:rsid w:val="002551BD"/>
    <w:rsid w:val="002568D0"/>
    <w:rsid w:val="00257FFB"/>
    <w:rsid w:val="0026198E"/>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86A43"/>
    <w:rsid w:val="0029136E"/>
    <w:rsid w:val="00292399"/>
    <w:rsid w:val="002935DC"/>
    <w:rsid w:val="00294445"/>
    <w:rsid w:val="00294B4D"/>
    <w:rsid w:val="00294E53"/>
    <w:rsid w:val="002960D5"/>
    <w:rsid w:val="00296371"/>
    <w:rsid w:val="0029687F"/>
    <w:rsid w:val="002A1062"/>
    <w:rsid w:val="002A2012"/>
    <w:rsid w:val="002A2413"/>
    <w:rsid w:val="002A2F5E"/>
    <w:rsid w:val="002A352A"/>
    <w:rsid w:val="002A607D"/>
    <w:rsid w:val="002A7D9C"/>
    <w:rsid w:val="002B132E"/>
    <w:rsid w:val="002B2813"/>
    <w:rsid w:val="002B2D29"/>
    <w:rsid w:val="002B5DA0"/>
    <w:rsid w:val="002C0C4B"/>
    <w:rsid w:val="002C109A"/>
    <w:rsid w:val="002C1EEA"/>
    <w:rsid w:val="002C33E6"/>
    <w:rsid w:val="002C47AD"/>
    <w:rsid w:val="002C6034"/>
    <w:rsid w:val="002C635B"/>
    <w:rsid w:val="002C7CFF"/>
    <w:rsid w:val="002C7E35"/>
    <w:rsid w:val="002D0BC6"/>
    <w:rsid w:val="002D11F7"/>
    <w:rsid w:val="002D17C5"/>
    <w:rsid w:val="002D28E8"/>
    <w:rsid w:val="002D365F"/>
    <w:rsid w:val="002D406E"/>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4DA6"/>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007F"/>
    <w:rsid w:val="00351E01"/>
    <w:rsid w:val="00352D21"/>
    <w:rsid w:val="0035443D"/>
    <w:rsid w:val="00354FEE"/>
    <w:rsid w:val="00356275"/>
    <w:rsid w:val="003569B7"/>
    <w:rsid w:val="00356B54"/>
    <w:rsid w:val="00356C0B"/>
    <w:rsid w:val="00357B9C"/>
    <w:rsid w:val="00361412"/>
    <w:rsid w:val="003615CA"/>
    <w:rsid w:val="00363346"/>
    <w:rsid w:val="003642A6"/>
    <w:rsid w:val="00364853"/>
    <w:rsid w:val="00367337"/>
    <w:rsid w:val="00367367"/>
    <w:rsid w:val="00367FD8"/>
    <w:rsid w:val="00370B63"/>
    <w:rsid w:val="00370FCC"/>
    <w:rsid w:val="003711AF"/>
    <w:rsid w:val="00371364"/>
    <w:rsid w:val="003733E5"/>
    <w:rsid w:val="00374848"/>
    <w:rsid w:val="00375D09"/>
    <w:rsid w:val="0037739D"/>
    <w:rsid w:val="0037751C"/>
    <w:rsid w:val="00380F3F"/>
    <w:rsid w:val="00382232"/>
    <w:rsid w:val="00382F1A"/>
    <w:rsid w:val="00383282"/>
    <w:rsid w:val="00383658"/>
    <w:rsid w:val="0038412E"/>
    <w:rsid w:val="00386053"/>
    <w:rsid w:val="0038771D"/>
    <w:rsid w:val="0039287E"/>
    <w:rsid w:val="00393507"/>
    <w:rsid w:val="00393E44"/>
    <w:rsid w:val="00394270"/>
    <w:rsid w:val="00397AB6"/>
    <w:rsid w:val="00397ACA"/>
    <w:rsid w:val="003A10C3"/>
    <w:rsid w:val="003A597F"/>
    <w:rsid w:val="003A71A8"/>
    <w:rsid w:val="003A7926"/>
    <w:rsid w:val="003B00CA"/>
    <w:rsid w:val="003B030B"/>
    <w:rsid w:val="003B0432"/>
    <w:rsid w:val="003B0821"/>
    <w:rsid w:val="003B0BE9"/>
    <w:rsid w:val="003B0DAF"/>
    <w:rsid w:val="003B19F8"/>
    <w:rsid w:val="003B2E9B"/>
    <w:rsid w:val="003B2F8D"/>
    <w:rsid w:val="003B4FAA"/>
    <w:rsid w:val="003B547A"/>
    <w:rsid w:val="003B68C8"/>
    <w:rsid w:val="003B6CB0"/>
    <w:rsid w:val="003B75B9"/>
    <w:rsid w:val="003C0DA2"/>
    <w:rsid w:val="003C0DBA"/>
    <w:rsid w:val="003C1A18"/>
    <w:rsid w:val="003C3261"/>
    <w:rsid w:val="003C5C41"/>
    <w:rsid w:val="003C7461"/>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2EEE"/>
    <w:rsid w:val="003E521F"/>
    <w:rsid w:val="003E64A9"/>
    <w:rsid w:val="003E7002"/>
    <w:rsid w:val="003E7905"/>
    <w:rsid w:val="003F0336"/>
    <w:rsid w:val="003F2147"/>
    <w:rsid w:val="003F4488"/>
    <w:rsid w:val="003F5547"/>
    <w:rsid w:val="003F5C40"/>
    <w:rsid w:val="003F6E12"/>
    <w:rsid w:val="003F75ED"/>
    <w:rsid w:val="004002B7"/>
    <w:rsid w:val="00400F31"/>
    <w:rsid w:val="004012AE"/>
    <w:rsid w:val="00402295"/>
    <w:rsid w:val="00406B4D"/>
    <w:rsid w:val="0041443C"/>
    <w:rsid w:val="004154F7"/>
    <w:rsid w:val="00416D44"/>
    <w:rsid w:val="004176FF"/>
    <w:rsid w:val="00421A27"/>
    <w:rsid w:val="00421D0A"/>
    <w:rsid w:val="004221AD"/>
    <w:rsid w:val="004241C5"/>
    <w:rsid w:val="00424FA7"/>
    <w:rsid w:val="00426A87"/>
    <w:rsid w:val="004309D8"/>
    <w:rsid w:val="004313D1"/>
    <w:rsid w:val="00431FD5"/>
    <w:rsid w:val="00432110"/>
    <w:rsid w:val="00433EBE"/>
    <w:rsid w:val="00434406"/>
    <w:rsid w:val="00440FED"/>
    <w:rsid w:val="00441194"/>
    <w:rsid w:val="00441B0A"/>
    <w:rsid w:val="00441B92"/>
    <w:rsid w:val="00442607"/>
    <w:rsid w:val="0044474B"/>
    <w:rsid w:val="00445FF7"/>
    <w:rsid w:val="00453341"/>
    <w:rsid w:val="004545C6"/>
    <w:rsid w:val="00454DCA"/>
    <w:rsid w:val="00455B17"/>
    <w:rsid w:val="004561C0"/>
    <w:rsid w:val="00456544"/>
    <w:rsid w:val="00456649"/>
    <w:rsid w:val="004567B7"/>
    <w:rsid w:val="00456856"/>
    <w:rsid w:val="00457810"/>
    <w:rsid w:val="00460839"/>
    <w:rsid w:val="00461210"/>
    <w:rsid w:val="00462490"/>
    <w:rsid w:val="00462A0A"/>
    <w:rsid w:val="00465299"/>
    <w:rsid w:val="00466A0F"/>
    <w:rsid w:val="0046795B"/>
    <w:rsid w:val="004708C0"/>
    <w:rsid w:val="004715CB"/>
    <w:rsid w:val="00471863"/>
    <w:rsid w:val="00473353"/>
    <w:rsid w:val="00473A14"/>
    <w:rsid w:val="00474CA8"/>
    <w:rsid w:val="00474E43"/>
    <w:rsid w:val="00475A4A"/>
    <w:rsid w:val="0048076D"/>
    <w:rsid w:val="00481C24"/>
    <w:rsid w:val="00481D90"/>
    <w:rsid w:val="00481E96"/>
    <w:rsid w:val="00482CD4"/>
    <w:rsid w:val="00483261"/>
    <w:rsid w:val="00484021"/>
    <w:rsid w:val="00485843"/>
    <w:rsid w:val="00485B23"/>
    <w:rsid w:val="0048630D"/>
    <w:rsid w:val="004874E4"/>
    <w:rsid w:val="0049070D"/>
    <w:rsid w:val="004914A9"/>
    <w:rsid w:val="00491BE4"/>
    <w:rsid w:val="00491DB2"/>
    <w:rsid w:val="00492877"/>
    <w:rsid w:val="00496DC2"/>
    <w:rsid w:val="00496E75"/>
    <w:rsid w:val="004A014C"/>
    <w:rsid w:val="004A0AA8"/>
    <w:rsid w:val="004A1F88"/>
    <w:rsid w:val="004A1FE4"/>
    <w:rsid w:val="004A2CA9"/>
    <w:rsid w:val="004A33EF"/>
    <w:rsid w:val="004A34C9"/>
    <w:rsid w:val="004A3CB5"/>
    <w:rsid w:val="004A441B"/>
    <w:rsid w:val="004A537D"/>
    <w:rsid w:val="004A565D"/>
    <w:rsid w:val="004A5703"/>
    <w:rsid w:val="004A64F6"/>
    <w:rsid w:val="004A67F0"/>
    <w:rsid w:val="004A71C3"/>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AE2"/>
    <w:rsid w:val="004C3EC7"/>
    <w:rsid w:val="004C3EEE"/>
    <w:rsid w:val="004C483D"/>
    <w:rsid w:val="004C6C7D"/>
    <w:rsid w:val="004C795A"/>
    <w:rsid w:val="004C7F93"/>
    <w:rsid w:val="004D26B8"/>
    <w:rsid w:val="004D38C2"/>
    <w:rsid w:val="004D4FBD"/>
    <w:rsid w:val="004D4FC0"/>
    <w:rsid w:val="004D7DA8"/>
    <w:rsid w:val="004E2892"/>
    <w:rsid w:val="004E362B"/>
    <w:rsid w:val="004E3681"/>
    <w:rsid w:val="004E3D74"/>
    <w:rsid w:val="004E708D"/>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2FA"/>
    <w:rsid w:val="00501304"/>
    <w:rsid w:val="00501425"/>
    <w:rsid w:val="005036BE"/>
    <w:rsid w:val="00504311"/>
    <w:rsid w:val="0050485C"/>
    <w:rsid w:val="00504AC6"/>
    <w:rsid w:val="00510C5E"/>
    <w:rsid w:val="00511079"/>
    <w:rsid w:val="00511CDF"/>
    <w:rsid w:val="00512829"/>
    <w:rsid w:val="00513839"/>
    <w:rsid w:val="00513B29"/>
    <w:rsid w:val="00513DEF"/>
    <w:rsid w:val="0051423C"/>
    <w:rsid w:val="00514C91"/>
    <w:rsid w:val="00514CA9"/>
    <w:rsid w:val="005153CE"/>
    <w:rsid w:val="00516241"/>
    <w:rsid w:val="00516FD9"/>
    <w:rsid w:val="0051791D"/>
    <w:rsid w:val="00520D6D"/>
    <w:rsid w:val="00522F9D"/>
    <w:rsid w:val="00523E75"/>
    <w:rsid w:val="005243E0"/>
    <w:rsid w:val="00524454"/>
    <w:rsid w:val="005256F3"/>
    <w:rsid w:val="005265A3"/>
    <w:rsid w:val="00526783"/>
    <w:rsid w:val="0052721C"/>
    <w:rsid w:val="005278FB"/>
    <w:rsid w:val="00527C99"/>
    <w:rsid w:val="00527FB1"/>
    <w:rsid w:val="005314C5"/>
    <w:rsid w:val="0053162F"/>
    <w:rsid w:val="00531777"/>
    <w:rsid w:val="0053281C"/>
    <w:rsid w:val="00532D02"/>
    <w:rsid w:val="005340C9"/>
    <w:rsid w:val="0053662A"/>
    <w:rsid w:val="005375FE"/>
    <w:rsid w:val="00540B5A"/>
    <w:rsid w:val="005420DE"/>
    <w:rsid w:val="00542249"/>
    <w:rsid w:val="005431F5"/>
    <w:rsid w:val="00543707"/>
    <w:rsid w:val="00543EBB"/>
    <w:rsid w:val="00544213"/>
    <w:rsid w:val="005453F3"/>
    <w:rsid w:val="00545549"/>
    <w:rsid w:val="00546312"/>
    <w:rsid w:val="005467DC"/>
    <w:rsid w:val="005469F5"/>
    <w:rsid w:val="005518ED"/>
    <w:rsid w:val="00552093"/>
    <w:rsid w:val="00554E4B"/>
    <w:rsid w:val="00555F67"/>
    <w:rsid w:val="00556605"/>
    <w:rsid w:val="005606A4"/>
    <w:rsid w:val="005607B8"/>
    <w:rsid w:val="00560CF5"/>
    <w:rsid w:val="00562330"/>
    <w:rsid w:val="0056272D"/>
    <w:rsid w:val="00562BAB"/>
    <w:rsid w:val="0056308E"/>
    <w:rsid w:val="005638C1"/>
    <w:rsid w:val="0056415C"/>
    <w:rsid w:val="005649BF"/>
    <w:rsid w:val="005650ED"/>
    <w:rsid w:val="00565869"/>
    <w:rsid w:val="00567415"/>
    <w:rsid w:val="00567610"/>
    <w:rsid w:val="00570D9F"/>
    <w:rsid w:val="00571CA8"/>
    <w:rsid w:val="005734C0"/>
    <w:rsid w:val="00580793"/>
    <w:rsid w:val="00581470"/>
    <w:rsid w:val="00581893"/>
    <w:rsid w:val="00582087"/>
    <w:rsid w:val="005831DD"/>
    <w:rsid w:val="00584320"/>
    <w:rsid w:val="00585484"/>
    <w:rsid w:val="00587229"/>
    <w:rsid w:val="00587503"/>
    <w:rsid w:val="005877C3"/>
    <w:rsid w:val="00587F7F"/>
    <w:rsid w:val="005907D2"/>
    <w:rsid w:val="00590E8D"/>
    <w:rsid w:val="00591511"/>
    <w:rsid w:val="0059331A"/>
    <w:rsid w:val="00593970"/>
    <w:rsid w:val="005949E8"/>
    <w:rsid w:val="00596BBA"/>
    <w:rsid w:val="005972F8"/>
    <w:rsid w:val="005975C4"/>
    <w:rsid w:val="00597ED8"/>
    <w:rsid w:val="005A2D6D"/>
    <w:rsid w:val="005A34D5"/>
    <w:rsid w:val="005A4904"/>
    <w:rsid w:val="005A4959"/>
    <w:rsid w:val="005A515A"/>
    <w:rsid w:val="005A6120"/>
    <w:rsid w:val="005A6BC4"/>
    <w:rsid w:val="005A704D"/>
    <w:rsid w:val="005B1FF6"/>
    <w:rsid w:val="005B303B"/>
    <w:rsid w:val="005B3C6D"/>
    <w:rsid w:val="005B4045"/>
    <w:rsid w:val="005B49A7"/>
    <w:rsid w:val="005B609E"/>
    <w:rsid w:val="005B6DF6"/>
    <w:rsid w:val="005B6EA6"/>
    <w:rsid w:val="005B780E"/>
    <w:rsid w:val="005B7B7D"/>
    <w:rsid w:val="005C1948"/>
    <w:rsid w:val="005C19A5"/>
    <w:rsid w:val="005C263C"/>
    <w:rsid w:val="005C2679"/>
    <w:rsid w:val="005C41D4"/>
    <w:rsid w:val="005C6FAD"/>
    <w:rsid w:val="005D0079"/>
    <w:rsid w:val="005D059A"/>
    <w:rsid w:val="005D07AE"/>
    <w:rsid w:val="005D07C5"/>
    <w:rsid w:val="005D1FF8"/>
    <w:rsid w:val="005D4302"/>
    <w:rsid w:val="005D5A20"/>
    <w:rsid w:val="005D6F3E"/>
    <w:rsid w:val="005D786C"/>
    <w:rsid w:val="005E00E5"/>
    <w:rsid w:val="005E049F"/>
    <w:rsid w:val="005E1588"/>
    <w:rsid w:val="005E3073"/>
    <w:rsid w:val="005E316A"/>
    <w:rsid w:val="005E5E1A"/>
    <w:rsid w:val="005E6C16"/>
    <w:rsid w:val="005F0108"/>
    <w:rsid w:val="005F0ECC"/>
    <w:rsid w:val="005F21A5"/>
    <w:rsid w:val="005F2470"/>
    <w:rsid w:val="005F28C6"/>
    <w:rsid w:val="005F3F16"/>
    <w:rsid w:val="005F52CC"/>
    <w:rsid w:val="005F5E6F"/>
    <w:rsid w:val="005F6BD4"/>
    <w:rsid w:val="005F77B0"/>
    <w:rsid w:val="005F7985"/>
    <w:rsid w:val="0060004D"/>
    <w:rsid w:val="00600CEB"/>
    <w:rsid w:val="00602A84"/>
    <w:rsid w:val="00602AA1"/>
    <w:rsid w:val="00603131"/>
    <w:rsid w:val="00604367"/>
    <w:rsid w:val="006044BE"/>
    <w:rsid w:val="0060475F"/>
    <w:rsid w:val="006060C2"/>
    <w:rsid w:val="00606A26"/>
    <w:rsid w:val="00606AC6"/>
    <w:rsid w:val="00607D81"/>
    <w:rsid w:val="00610747"/>
    <w:rsid w:val="00610E03"/>
    <w:rsid w:val="00610EC7"/>
    <w:rsid w:val="0061176E"/>
    <w:rsid w:val="00612A14"/>
    <w:rsid w:val="0061417F"/>
    <w:rsid w:val="00614CD1"/>
    <w:rsid w:val="0061567B"/>
    <w:rsid w:val="0062152A"/>
    <w:rsid w:val="00621893"/>
    <w:rsid w:val="00623583"/>
    <w:rsid w:val="0062462F"/>
    <w:rsid w:val="00624BA1"/>
    <w:rsid w:val="0062661B"/>
    <w:rsid w:val="00626D80"/>
    <w:rsid w:val="00630118"/>
    <w:rsid w:val="006310AE"/>
    <w:rsid w:val="00631762"/>
    <w:rsid w:val="00632196"/>
    <w:rsid w:val="00632FD1"/>
    <w:rsid w:val="00633BF2"/>
    <w:rsid w:val="00633F67"/>
    <w:rsid w:val="006345C3"/>
    <w:rsid w:val="006362F9"/>
    <w:rsid w:val="006369A9"/>
    <w:rsid w:val="006373CD"/>
    <w:rsid w:val="0063747D"/>
    <w:rsid w:val="0064165D"/>
    <w:rsid w:val="006433BD"/>
    <w:rsid w:val="00643784"/>
    <w:rsid w:val="00644186"/>
    <w:rsid w:val="00644A21"/>
    <w:rsid w:val="00645C9F"/>
    <w:rsid w:val="00646305"/>
    <w:rsid w:val="00646A6C"/>
    <w:rsid w:val="00646F20"/>
    <w:rsid w:val="006475E6"/>
    <w:rsid w:val="006508B9"/>
    <w:rsid w:val="00650CA1"/>
    <w:rsid w:val="00651854"/>
    <w:rsid w:val="006539E8"/>
    <w:rsid w:val="006565D8"/>
    <w:rsid w:val="00656B96"/>
    <w:rsid w:val="00656CF4"/>
    <w:rsid w:val="0065736B"/>
    <w:rsid w:val="00657AE5"/>
    <w:rsid w:val="006619B0"/>
    <w:rsid w:val="00661B9B"/>
    <w:rsid w:val="00662012"/>
    <w:rsid w:val="00662543"/>
    <w:rsid w:val="006626D0"/>
    <w:rsid w:val="00664E8C"/>
    <w:rsid w:val="00665138"/>
    <w:rsid w:val="0066528A"/>
    <w:rsid w:val="00665F7C"/>
    <w:rsid w:val="0066699A"/>
    <w:rsid w:val="00666DFC"/>
    <w:rsid w:val="00666EBB"/>
    <w:rsid w:val="00666F7A"/>
    <w:rsid w:val="00667385"/>
    <w:rsid w:val="0066779E"/>
    <w:rsid w:val="0067269D"/>
    <w:rsid w:val="00672988"/>
    <w:rsid w:val="00672AEA"/>
    <w:rsid w:val="00672C64"/>
    <w:rsid w:val="00674E6A"/>
    <w:rsid w:val="00675266"/>
    <w:rsid w:val="0067661A"/>
    <w:rsid w:val="00676A64"/>
    <w:rsid w:val="00677925"/>
    <w:rsid w:val="00680F46"/>
    <w:rsid w:val="00681FDC"/>
    <w:rsid w:val="0068251F"/>
    <w:rsid w:val="006829E8"/>
    <w:rsid w:val="00682A0C"/>
    <w:rsid w:val="00682B53"/>
    <w:rsid w:val="00682F27"/>
    <w:rsid w:val="0069011A"/>
    <w:rsid w:val="00690E2E"/>
    <w:rsid w:val="006915D7"/>
    <w:rsid w:val="00692814"/>
    <w:rsid w:val="0069320E"/>
    <w:rsid w:val="006932E7"/>
    <w:rsid w:val="00693347"/>
    <w:rsid w:val="0069334C"/>
    <w:rsid w:val="00696D63"/>
    <w:rsid w:val="0069729C"/>
    <w:rsid w:val="006A032F"/>
    <w:rsid w:val="006A41AE"/>
    <w:rsid w:val="006A4856"/>
    <w:rsid w:val="006A564B"/>
    <w:rsid w:val="006B0386"/>
    <w:rsid w:val="006B08CF"/>
    <w:rsid w:val="006B0B90"/>
    <w:rsid w:val="006B1545"/>
    <w:rsid w:val="006B2DA7"/>
    <w:rsid w:val="006B2F4D"/>
    <w:rsid w:val="006B3682"/>
    <w:rsid w:val="006B48CB"/>
    <w:rsid w:val="006B7CE0"/>
    <w:rsid w:val="006C08C5"/>
    <w:rsid w:val="006C1445"/>
    <w:rsid w:val="006C3959"/>
    <w:rsid w:val="006C4FC1"/>
    <w:rsid w:val="006C51A5"/>
    <w:rsid w:val="006C529D"/>
    <w:rsid w:val="006C5670"/>
    <w:rsid w:val="006C58B2"/>
    <w:rsid w:val="006C7CC9"/>
    <w:rsid w:val="006C7CFC"/>
    <w:rsid w:val="006D0E6B"/>
    <w:rsid w:val="006D1073"/>
    <w:rsid w:val="006D2146"/>
    <w:rsid w:val="006D632E"/>
    <w:rsid w:val="006E094A"/>
    <w:rsid w:val="006E12B1"/>
    <w:rsid w:val="006E13D1"/>
    <w:rsid w:val="006E1A08"/>
    <w:rsid w:val="006E283E"/>
    <w:rsid w:val="006E2A4B"/>
    <w:rsid w:val="006E4D0C"/>
    <w:rsid w:val="006E4D1B"/>
    <w:rsid w:val="006E5B78"/>
    <w:rsid w:val="006E6BA3"/>
    <w:rsid w:val="006F01EB"/>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0393"/>
    <w:rsid w:val="0071118B"/>
    <w:rsid w:val="00711E13"/>
    <w:rsid w:val="00712EDA"/>
    <w:rsid w:val="007136D0"/>
    <w:rsid w:val="007155A9"/>
    <w:rsid w:val="007158E1"/>
    <w:rsid w:val="0071705B"/>
    <w:rsid w:val="00720505"/>
    <w:rsid w:val="007236A3"/>
    <w:rsid w:val="007239B6"/>
    <w:rsid w:val="0072490A"/>
    <w:rsid w:val="0072517D"/>
    <w:rsid w:val="0072558B"/>
    <w:rsid w:val="00726878"/>
    <w:rsid w:val="0073124A"/>
    <w:rsid w:val="00731B79"/>
    <w:rsid w:val="00731EFA"/>
    <w:rsid w:val="00733893"/>
    <w:rsid w:val="00734A05"/>
    <w:rsid w:val="00735C6F"/>
    <w:rsid w:val="007408D5"/>
    <w:rsid w:val="00742B44"/>
    <w:rsid w:val="007440FE"/>
    <w:rsid w:val="0074655A"/>
    <w:rsid w:val="007469B7"/>
    <w:rsid w:val="00746C78"/>
    <w:rsid w:val="00753BB5"/>
    <w:rsid w:val="00756832"/>
    <w:rsid w:val="007626D0"/>
    <w:rsid w:val="007651CA"/>
    <w:rsid w:val="00767519"/>
    <w:rsid w:val="00767EE3"/>
    <w:rsid w:val="007704E1"/>
    <w:rsid w:val="00772569"/>
    <w:rsid w:val="00772E8C"/>
    <w:rsid w:val="007736D3"/>
    <w:rsid w:val="00773B54"/>
    <w:rsid w:val="0077500F"/>
    <w:rsid w:val="0077548E"/>
    <w:rsid w:val="00777315"/>
    <w:rsid w:val="00777387"/>
    <w:rsid w:val="007802E4"/>
    <w:rsid w:val="00780919"/>
    <w:rsid w:val="007825F0"/>
    <w:rsid w:val="007826C8"/>
    <w:rsid w:val="00782972"/>
    <w:rsid w:val="00783ACA"/>
    <w:rsid w:val="00784190"/>
    <w:rsid w:val="0078457B"/>
    <w:rsid w:val="00784756"/>
    <w:rsid w:val="0078539D"/>
    <w:rsid w:val="007856C1"/>
    <w:rsid w:val="00786ED1"/>
    <w:rsid w:val="00787051"/>
    <w:rsid w:val="0079018D"/>
    <w:rsid w:val="00791A00"/>
    <w:rsid w:val="00791DBA"/>
    <w:rsid w:val="00792CEE"/>
    <w:rsid w:val="00794E92"/>
    <w:rsid w:val="0079656A"/>
    <w:rsid w:val="00796D86"/>
    <w:rsid w:val="00796F15"/>
    <w:rsid w:val="007A138F"/>
    <w:rsid w:val="007A1640"/>
    <w:rsid w:val="007A3723"/>
    <w:rsid w:val="007A39DF"/>
    <w:rsid w:val="007A3A7F"/>
    <w:rsid w:val="007A43ED"/>
    <w:rsid w:val="007A4997"/>
    <w:rsid w:val="007A4BDD"/>
    <w:rsid w:val="007A6881"/>
    <w:rsid w:val="007A72EE"/>
    <w:rsid w:val="007B0397"/>
    <w:rsid w:val="007B3502"/>
    <w:rsid w:val="007B44ED"/>
    <w:rsid w:val="007B491A"/>
    <w:rsid w:val="007B5370"/>
    <w:rsid w:val="007B61F5"/>
    <w:rsid w:val="007B63FA"/>
    <w:rsid w:val="007B7496"/>
    <w:rsid w:val="007B7AF5"/>
    <w:rsid w:val="007C0802"/>
    <w:rsid w:val="007C12BE"/>
    <w:rsid w:val="007C2739"/>
    <w:rsid w:val="007C4B0F"/>
    <w:rsid w:val="007C4DAD"/>
    <w:rsid w:val="007C501D"/>
    <w:rsid w:val="007C5830"/>
    <w:rsid w:val="007C5DB8"/>
    <w:rsid w:val="007C6CA2"/>
    <w:rsid w:val="007D05B2"/>
    <w:rsid w:val="007D0C44"/>
    <w:rsid w:val="007D1972"/>
    <w:rsid w:val="007D1F33"/>
    <w:rsid w:val="007D2146"/>
    <w:rsid w:val="007D24BF"/>
    <w:rsid w:val="007D3307"/>
    <w:rsid w:val="007D432A"/>
    <w:rsid w:val="007D5A88"/>
    <w:rsid w:val="007D5E27"/>
    <w:rsid w:val="007D6F64"/>
    <w:rsid w:val="007E12FD"/>
    <w:rsid w:val="007E25AB"/>
    <w:rsid w:val="007E2C70"/>
    <w:rsid w:val="007E45BC"/>
    <w:rsid w:val="007E5AC2"/>
    <w:rsid w:val="007E79C5"/>
    <w:rsid w:val="007F0036"/>
    <w:rsid w:val="007F143A"/>
    <w:rsid w:val="007F2845"/>
    <w:rsid w:val="007F43BC"/>
    <w:rsid w:val="007F4740"/>
    <w:rsid w:val="007F5CEB"/>
    <w:rsid w:val="007F6202"/>
    <w:rsid w:val="007F7E1D"/>
    <w:rsid w:val="008006C6"/>
    <w:rsid w:val="00800C52"/>
    <w:rsid w:val="00800FE1"/>
    <w:rsid w:val="0080153E"/>
    <w:rsid w:val="00805533"/>
    <w:rsid w:val="0080742D"/>
    <w:rsid w:val="008100AC"/>
    <w:rsid w:val="008114D3"/>
    <w:rsid w:val="0081151E"/>
    <w:rsid w:val="00812498"/>
    <w:rsid w:val="0081263E"/>
    <w:rsid w:val="008127E6"/>
    <w:rsid w:val="0081336E"/>
    <w:rsid w:val="00813928"/>
    <w:rsid w:val="00820DC7"/>
    <w:rsid w:val="00820FFB"/>
    <w:rsid w:val="00821698"/>
    <w:rsid w:val="008221FE"/>
    <w:rsid w:val="00822B6B"/>
    <w:rsid w:val="00822BF5"/>
    <w:rsid w:val="00824894"/>
    <w:rsid w:val="00825366"/>
    <w:rsid w:val="00826C7B"/>
    <w:rsid w:val="00826DD9"/>
    <w:rsid w:val="00826E01"/>
    <w:rsid w:val="008277A8"/>
    <w:rsid w:val="008278B6"/>
    <w:rsid w:val="008307ED"/>
    <w:rsid w:val="00832918"/>
    <w:rsid w:val="0083350F"/>
    <w:rsid w:val="00834358"/>
    <w:rsid w:val="008346BD"/>
    <w:rsid w:val="00836B7A"/>
    <w:rsid w:val="008409AA"/>
    <w:rsid w:val="00840FB8"/>
    <w:rsid w:val="0084353E"/>
    <w:rsid w:val="00843A7A"/>
    <w:rsid w:val="008447F5"/>
    <w:rsid w:val="00846292"/>
    <w:rsid w:val="00850413"/>
    <w:rsid w:val="008506E1"/>
    <w:rsid w:val="008515EE"/>
    <w:rsid w:val="008528D3"/>
    <w:rsid w:val="00854553"/>
    <w:rsid w:val="00855B86"/>
    <w:rsid w:val="008565F1"/>
    <w:rsid w:val="0086042D"/>
    <w:rsid w:val="00860874"/>
    <w:rsid w:val="00862008"/>
    <w:rsid w:val="00862720"/>
    <w:rsid w:val="008628C8"/>
    <w:rsid w:val="00862B2A"/>
    <w:rsid w:val="008630B9"/>
    <w:rsid w:val="00863F37"/>
    <w:rsid w:val="0086406B"/>
    <w:rsid w:val="00864C8C"/>
    <w:rsid w:val="00867651"/>
    <w:rsid w:val="008704A9"/>
    <w:rsid w:val="00870D04"/>
    <w:rsid w:val="0087121B"/>
    <w:rsid w:val="008714B6"/>
    <w:rsid w:val="008743F3"/>
    <w:rsid w:val="0087444A"/>
    <w:rsid w:val="00875139"/>
    <w:rsid w:val="00875410"/>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3B51"/>
    <w:rsid w:val="008B4057"/>
    <w:rsid w:val="008B4145"/>
    <w:rsid w:val="008B4CAC"/>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4CF7"/>
    <w:rsid w:val="008F4EDF"/>
    <w:rsid w:val="008F5948"/>
    <w:rsid w:val="00900093"/>
    <w:rsid w:val="009006A2"/>
    <w:rsid w:val="0090102B"/>
    <w:rsid w:val="00901448"/>
    <w:rsid w:val="009026AD"/>
    <w:rsid w:val="009036BC"/>
    <w:rsid w:val="00903AFB"/>
    <w:rsid w:val="00905C47"/>
    <w:rsid w:val="00906379"/>
    <w:rsid w:val="0090638B"/>
    <w:rsid w:val="00906393"/>
    <w:rsid w:val="00907086"/>
    <w:rsid w:val="009101EA"/>
    <w:rsid w:val="009106FC"/>
    <w:rsid w:val="0091090F"/>
    <w:rsid w:val="009118BB"/>
    <w:rsid w:val="0091191F"/>
    <w:rsid w:val="00912A2F"/>
    <w:rsid w:val="009148F3"/>
    <w:rsid w:val="00915B81"/>
    <w:rsid w:val="00915D6B"/>
    <w:rsid w:val="009160DF"/>
    <w:rsid w:val="009162C7"/>
    <w:rsid w:val="00916EC2"/>
    <w:rsid w:val="009178BD"/>
    <w:rsid w:val="009213BD"/>
    <w:rsid w:val="00922DC3"/>
    <w:rsid w:val="00923AFA"/>
    <w:rsid w:val="00924627"/>
    <w:rsid w:val="009250A8"/>
    <w:rsid w:val="00925BE6"/>
    <w:rsid w:val="00926F61"/>
    <w:rsid w:val="0093123D"/>
    <w:rsid w:val="00933040"/>
    <w:rsid w:val="009330E9"/>
    <w:rsid w:val="00933B95"/>
    <w:rsid w:val="00935B49"/>
    <w:rsid w:val="00935D15"/>
    <w:rsid w:val="009411FB"/>
    <w:rsid w:val="009414A9"/>
    <w:rsid w:val="00941B71"/>
    <w:rsid w:val="00941F73"/>
    <w:rsid w:val="009421AD"/>
    <w:rsid w:val="0094221C"/>
    <w:rsid w:val="0094409C"/>
    <w:rsid w:val="00944159"/>
    <w:rsid w:val="009444D9"/>
    <w:rsid w:val="009449B2"/>
    <w:rsid w:val="00944A82"/>
    <w:rsid w:val="00946C4D"/>
    <w:rsid w:val="009502A9"/>
    <w:rsid w:val="0095285B"/>
    <w:rsid w:val="00953FE9"/>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2958"/>
    <w:rsid w:val="00994617"/>
    <w:rsid w:val="00996306"/>
    <w:rsid w:val="00996744"/>
    <w:rsid w:val="009967DA"/>
    <w:rsid w:val="0099705B"/>
    <w:rsid w:val="00997CF4"/>
    <w:rsid w:val="009A1169"/>
    <w:rsid w:val="009A1AAC"/>
    <w:rsid w:val="009A3789"/>
    <w:rsid w:val="009A4860"/>
    <w:rsid w:val="009A6919"/>
    <w:rsid w:val="009A6AC7"/>
    <w:rsid w:val="009A6CC2"/>
    <w:rsid w:val="009A7831"/>
    <w:rsid w:val="009B0408"/>
    <w:rsid w:val="009B0843"/>
    <w:rsid w:val="009B1E47"/>
    <w:rsid w:val="009B2CED"/>
    <w:rsid w:val="009B345D"/>
    <w:rsid w:val="009B5A4D"/>
    <w:rsid w:val="009B7321"/>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5F1A"/>
    <w:rsid w:val="00A0670C"/>
    <w:rsid w:val="00A07E08"/>
    <w:rsid w:val="00A12798"/>
    <w:rsid w:val="00A153BE"/>
    <w:rsid w:val="00A15DEE"/>
    <w:rsid w:val="00A167B5"/>
    <w:rsid w:val="00A168A6"/>
    <w:rsid w:val="00A16DBE"/>
    <w:rsid w:val="00A17C4F"/>
    <w:rsid w:val="00A20653"/>
    <w:rsid w:val="00A20A39"/>
    <w:rsid w:val="00A21013"/>
    <w:rsid w:val="00A22681"/>
    <w:rsid w:val="00A238BD"/>
    <w:rsid w:val="00A23DA4"/>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1DC7"/>
    <w:rsid w:val="00A72B7B"/>
    <w:rsid w:val="00A73790"/>
    <w:rsid w:val="00A74692"/>
    <w:rsid w:val="00A75726"/>
    <w:rsid w:val="00A7618B"/>
    <w:rsid w:val="00A7640B"/>
    <w:rsid w:val="00A7778B"/>
    <w:rsid w:val="00A803BC"/>
    <w:rsid w:val="00A80969"/>
    <w:rsid w:val="00A84805"/>
    <w:rsid w:val="00A858C5"/>
    <w:rsid w:val="00A86EA7"/>
    <w:rsid w:val="00A91244"/>
    <w:rsid w:val="00A91778"/>
    <w:rsid w:val="00A91AA1"/>
    <w:rsid w:val="00A91E17"/>
    <w:rsid w:val="00A92776"/>
    <w:rsid w:val="00A93181"/>
    <w:rsid w:val="00A938E6"/>
    <w:rsid w:val="00A93CCF"/>
    <w:rsid w:val="00A95BD5"/>
    <w:rsid w:val="00A96F78"/>
    <w:rsid w:val="00AA1087"/>
    <w:rsid w:val="00AA25A9"/>
    <w:rsid w:val="00AA26D9"/>
    <w:rsid w:val="00AA3DEA"/>
    <w:rsid w:val="00AA51AD"/>
    <w:rsid w:val="00AA591E"/>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960"/>
    <w:rsid w:val="00AE3DE1"/>
    <w:rsid w:val="00AE44AC"/>
    <w:rsid w:val="00AE60C3"/>
    <w:rsid w:val="00AE63B3"/>
    <w:rsid w:val="00AE6E76"/>
    <w:rsid w:val="00AE6F68"/>
    <w:rsid w:val="00AE7527"/>
    <w:rsid w:val="00AF259C"/>
    <w:rsid w:val="00AF2D54"/>
    <w:rsid w:val="00AF3458"/>
    <w:rsid w:val="00AF3F7B"/>
    <w:rsid w:val="00AF42B4"/>
    <w:rsid w:val="00AF4B8A"/>
    <w:rsid w:val="00AF4F1B"/>
    <w:rsid w:val="00AF5EC6"/>
    <w:rsid w:val="00AF6E8A"/>
    <w:rsid w:val="00AF7213"/>
    <w:rsid w:val="00AF7D92"/>
    <w:rsid w:val="00B00C28"/>
    <w:rsid w:val="00B011CC"/>
    <w:rsid w:val="00B022D6"/>
    <w:rsid w:val="00B02A2D"/>
    <w:rsid w:val="00B04048"/>
    <w:rsid w:val="00B04F3D"/>
    <w:rsid w:val="00B05702"/>
    <w:rsid w:val="00B06DD9"/>
    <w:rsid w:val="00B07CD6"/>
    <w:rsid w:val="00B07E52"/>
    <w:rsid w:val="00B10010"/>
    <w:rsid w:val="00B11775"/>
    <w:rsid w:val="00B12632"/>
    <w:rsid w:val="00B12660"/>
    <w:rsid w:val="00B1302D"/>
    <w:rsid w:val="00B149A6"/>
    <w:rsid w:val="00B1513F"/>
    <w:rsid w:val="00B15B31"/>
    <w:rsid w:val="00B15B89"/>
    <w:rsid w:val="00B1746F"/>
    <w:rsid w:val="00B17EA8"/>
    <w:rsid w:val="00B20725"/>
    <w:rsid w:val="00B20B94"/>
    <w:rsid w:val="00B2506B"/>
    <w:rsid w:val="00B2628E"/>
    <w:rsid w:val="00B266B0"/>
    <w:rsid w:val="00B27921"/>
    <w:rsid w:val="00B3000E"/>
    <w:rsid w:val="00B326A8"/>
    <w:rsid w:val="00B329EB"/>
    <w:rsid w:val="00B33508"/>
    <w:rsid w:val="00B3377E"/>
    <w:rsid w:val="00B35786"/>
    <w:rsid w:val="00B35DA4"/>
    <w:rsid w:val="00B37425"/>
    <w:rsid w:val="00B40A96"/>
    <w:rsid w:val="00B4184B"/>
    <w:rsid w:val="00B422A7"/>
    <w:rsid w:val="00B42A32"/>
    <w:rsid w:val="00B42FA6"/>
    <w:rsid w:val="00B431AE"/>
    <w:rsid w:val="00B4399E"/>
    <w:rsid w:val="00B43A16"/>
    <w:rsid w:val="00B45C10"/>
    <w:rsid w:val="00B45CE1"/>
    <w:rsid w:val="00B46A75"/>
    <w:rsid w:val="00B500CD"/>
    <w:rsid w:val="00B5239C"/>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805"/>
    <w:rsid w:val="00B67939"/>
    <w:rsid w:val="00B70A76"/>
    <w:rsid w:val="00B721CD"/>
    <w:rsid w:val="00B7267A"/>
    <w:rsid w:val="00B726FF"/>
    <w:rsid w:val="00B7291A"/>
    <w:rsid w:val="00B72A91"/>
    <w:rsid w:val="00B72AA4"/>
    <w:rsid w:val="00B75454"/>
    <w:rsid w:val="00B76BCD"/>
    <w:rsid w:val="00B76EE9"/>
    <w:rsid w:val="00B77880"/>
    <w:rsid w:val="00B80D90"/>
    <w:rsid w:val="00B80E77"/>
    <w:rsid w:val="00B82613"/>
    <w:rsid w:val="00B828B5"/>
    <w:rsid w:val="00B84E9C"/>
    <w:rsid w:val="00B85522"/>
    <w:rsid w:val="00B869DF"/>
    <w:rsid w:val="00B90E2A"/>
    <w:rsid w:val="00B90F2A"/>
    <w:rsid w:val="00B9198D"/>
    <w:rsid w:val="00B93008"/>
    <w:rsid w:val="00B9406D"/>
    <w:rsid w:val="00B94BA7"/>
    <w:rsid w:val="00B94BE9"/>
    <w:rsid w:val="00B94E0E"/>
    <w:rsid w:val="00B97CA3"/>
    <w:rsid w:val="00BA3D7B"/>
    <w:rsid w:val="00BA76A9"/>
    <w:rsid w:val="00BB3E2B"/>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D3E68"/>
    <w:rsid w:val="00BD598A"/>
    <w:rsid w:val="00BD75B4"/>
    <w:rsid w:val="00BD7BFE"/>
    <w:rsid w:val="00BD7D14"/>
    <w:rsid w:val="00BE02B4"/>
    <w:rsid w:val="00BE0A4E"/>
    <w:rsid w:val="00BE1553"/>
    <w:rsid w:val="00BE4EC9"/>
    <w:rsid w:val="00BE631E"/>
    <w:rsid w:val="00BE71F7"/>
    <w:rsid w:val="00BF0CCF"/>
    <w:rsid w:val="00BF0FC5"/>
    <w:rsid w:val="00BF10BC"/>
    <w:rsid w:val="00BF21AC"/>
    <w:rsid w:val="00BF2E53"/>
    <w:rsid w:val="00BF3133"/>
    <w:rsid w:val="00BF3669"/>
    <w:rsid w:val="00BF3C0D"/>
    <w:rsid w:val="00BF711C"/>
    <w:rsid w:val="00BF7C74"/>
    <w:rsid w:val="00C00ED8"/>
    <w:rsid w:val="00C03309"/>
    <w:rsid w:val="00C03452"/>
    <w:rsid w:val="00C067D5"/>
    <w:rsid w:val="00C072FE"/>
    <w:rsid w:val="00C12E39"/>
    <w:rsid w:val="00C14164"/>
    <w:rsid w:val="00C15D8E"/>
    <w:rsid w:val="00C17012"/>
    <w:rsid w:val="00C178FB"/>
    <w:rsid w:val="00C22B28"/>
    <w:rsid w:val="00C22B5A"/>
    <w:rsid w:val="00C23E6D"/>
    <w:rsid w:val="00C247BF"/>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20B1"/>
    <w:rsid w:val="00C522D6"/>
    <w:rsid w:val="00C5306D"/>
    <w:rsid w:val="00C54020"/>
    <w:rsid w:val="00C5406F"/>
    <w:rsid w:val="00C545C5"/>
    <w:rsid w:val="00C55566"/>
    <w:rsid w:val="00C55B1D"/>
    <w:rsid w:val="00C568FE"/>
    <w:rsid w:val="00C573E9"/>
    <w:rsid w:val="00C5749F"/>
    <w:rsid w:val="00C6038F"/>
    <w:rsid w:val="00C61498"/>
    <w:rsid w:val="00C61D4B"/>
    <w:rsid w:val="00C6225E"/>
    <w:rsid w:val="00C62B0A"/>
    <w:rsid w:val="00C63F08"/>
    <w:rsid w:val="00C6528C"/>
    <w:rsid w:val="00C661E8"/>
    <w:rsid w:val="00C6648F"/>
    <w:rsid w:val="00C66D27"/>
    <w:rsid w:val="00C66E69"/>
    <w:rsid w:val="00C70084"/>
    <w:rsid w:val="00C7235B"/>
    <w:rsid w:val="00C72E18"/>
    <w:rsid w:val="00C731AD"/>
    <w:rsid w:val="00C73379"/>
    <w:rsid w:val="00C7380B"/>
    <w:rsid w:val="00C74421"/>
    <w:rsid w:val="00C7542D"/>
    <w:rsid w:val="00C75F2F"/>
    <w:rsid w:val="00C75FEE"/>
    <w:rsid w:val="00C76F1D"/>
    <w:rsid w:val="00C77D26"/>
    <w:rsid w:val="00C80BDF"/>
    <w:rsid w:val="00C84D39"/>
    <w:rsid w:val="00C85277"/>
    <w:rsid w:val="00C85D76"/>
    <w:rsid w:val="00C864D4"/>
    <w:rsid w:val="00C873AC"/>
    <w:rsid w:val="00C87B19"/>
    <w:rsid w:val="00C93462"/>
    <w:rsid w:val="00C94384"/>
    <w:rsid w:val="00C94A34"/>
    <w:rsid w:val="00C94C2B"/>
    <w:rsid w:val="00C96F79"/>
    <w:rsid w:val="00C97CF9"/>
    <w:rsid w:val="00CA0642"/>
    <w:rsid w:val="00CA17DD"/>
    <w:rsid w:val="00CA1863"/>
    <w:rsid w:val="00CA192A"/>
    <w:rsid w:val="00CA26CE"/>
    <w:rsid w:val="00CA391D"/>
    <w:rsid w:val="00CA3ACD"/>
    <w:rsid w:val="00CA4F8B"/>
    <w:rsid w:val="00CA64D5"/>
    <w:rsid w:val="00CB09DA"/>
    <w:rsid w:val="00CB0BD9"/>
    <w:rsid w:val="00CB1CAC"/>
    <w:rsid w:val="00CB1D87"/>
    <w:rsid w:val="00CB1DE8"/>
    <w:rsid w:val="00CB1E3B"/>
    <w:rsid w:val="00CB1F1D"/>
    <w:rsid w:val="00CB4212"/>
    <w:rsid w:val="00CB600D"/>
    <w:rsid w:val="00CB71F8"/>
    <w:rsid w:val="00CC26DB"/>
    <w:rsid w:val="00CC300C"/>
    <w:rsid w:val="00CC35AE"/>
    <w:rsid w:val="00CC3837"/>
    <w:rsid w:val="00CC3DAA"/>
    <w:rsid w:val="00CC43B0"/>
    <w:rsid w:val="00CC49C7"/>
    <w:rsid w:val="00CC4B65"/>
    <w:rsid w:val="00CC4C2C"/>
    <w:rsid w:val="00CC5057"/>
    <w:rsid w:val="00CC587F"/>
    <w:rsid w:val="00CD0126"/>
    <w:rsid w:val="00CD078F"/>
    <w:rsid w:val="00CD121E"/>
    <w:rsid w:val="00CD1922"/>
    <w:rsid w:val="00CD27A8"/>
    <w:rsid w:val="00CD28F0"/>
    <w:rsid w:val="00CD3ED8"/>
    <w:rsid w:val="00CD6190"/>
    <w:rsid w:val="00CD736C"/>
    <w:rsid w:val="00CD761D"/>
    <w:rsid w:val="00CD76B5"/>
    <w:rsid w:val="00CE2346"/>
    <w:rsid w:val="00CE2B02"/>
    <w:rsid w:val="00CE3B50"/>
    <w:rsid w:val="00CE4F2D"/>
    <w:rsid w:val="00CE6F0F"/>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2C62"/>
    <w:rsid w:val="00D035B9"/>
    <w:rsid w:val="00D060FF"/>
    <w:rsid w:val="00D064E8"/>
    <w:rsid w:val="00D06572"/>
    <w:rsid w:val="00D065CD"/>
    <w:rsid w:val="00D07D93"/>
    <w:rsid w:val="00D12325"/>
    <w:rsid w:val="00D14487"/>
    <w:rsid w:val="00D14DBB"/>
    <w:rsid w:val="00D15E7E"/>
    <w:rsid w:val="00D162EF"/>
    <w:rsid w:val="00D20016"/>
    <w:rsid w:val="00D207A7"/>
    <w:rsid w:val="00D20CD6"/>
    <w:rsid w:val="00D20E00"/>
    <w:rsid w:val="00D21771"/>
    <w:rsid w:val="00D21DBE"/>
    <w:rsid w:val="00D2279F"/>
    <w:rsid w:val="00D22AF1"/>
    <w:rsid w:val="00D22E93"/>
    <w:rsid w:val="00D242DA"/>
    <w:rsid w:val="00D25BD5"/>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2ECD"/>
    <w:rsid w:val="00D6334B"/>
    <w:rsid w:val="00D64426"/>
    <w:rsid w:val="00D645A3"/>
    <w:rsid w:val="00D65D78"/>
    <w:rsid w:val="00D67BC5"/>
    <w:rsid w:val="00D7021B"/>
    <w:rsid w:val="00D70D33"/>
    <w:rsid w:val="00D73077"/>
    <w:rsid w:val="00D736A2"/>
    <w:rsid w:val="00D73C57"/>
    <w:rsid w:val="00D742FF"/>
    <w:rsid w:val="00D758B3"/>
    <w:rsid w:val="00D76ADC"/>
    <w:rsid w:val="00D77413"/>
    <w:rsid w:val="00D81F10"/>
    <w:rsid w:val="00D8201E"/>
    <w:rsid w:val="00D8303C"/>
    <w:rsid w:val="00D84A57"/>
    <w:rsid w:val="00D84C3B"/>
    <w:rsid w:val="00D864F8"/>
    <w:rsid w:val="00D874DF"/>
    <w:rsid w:val="00D87A12"/>
    <w:rsid w:val="00D930E1"/>
    <w:rsid w:val="00D9415C"/>
    <w:rsid w:val="00D942CC"/>
    <w:rsid w:val="00D94ADE"/>
    <w:rsid w:val="00D94D87"/>
    <w:rsid w:val="00D962DC"/>
    <w:rsid w:val="00D97BB5"/>
    <w:rsid w:val="00DA0C12"/>
    <w:rsid w:val="00DA180C"/>
    <w:rsid w:val="00DA1EF7"/>
    <w:rsid w:val="00DA2786"/>
    <w:rsid w:val="00DA2DF8"/>
    <w:rsid w:val="00DA3E7B"/>
    <w:rsid w:val="00DA451D"/>
    <w:rsid w:val="00DA56DB"/>
    <w:rsid w:val="00DA6452"/>
    <w:rsid w:val="00DA6C81"/>
    <w:rsid w:val="00DA6FE9"/>
    <w:rsid w:val="00DA7925"/>
    <w:rsid w:val="00DB050F"/>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3B1"/>
    <w:rsid w:val="00DC7951"/>
    <w:rsid w:val="00DD0F95"/>
    <w:rsid w:val="00DD1C4B"/>
    <w:rsid w:val="00DD1F7B"/>
    <w:rsid w:val="00DD229E"/>
    <w:rsid w:val="00DD3029"/>
    <w:rsid w:val="00DD3E21"/>
    <w:rsid w:val="00DD55E0"/>
    <w:rsid w:val="00DD5E12"/>
    <w:rsid w:val="00DE0C66"/>
    <w:rsid w:val="00DE1904"/>
    <w:rsid w:val="00DE3DBB"/>
    <w:rsid w:val="00DE43A2"/>
    <w:rsid w:val="00DE4A74"/>
    <w:rsid w:val="00DE4B05"/>
    <w:rsid w:val="00DE541C"/>
    <w:rsid w:val="00DE737B"/>
    <w:rsid w:val="00DF0587"/>
    <w:rsid w:val="00DF100B"/>
    <w:rsid w:val="00DF23CA"/>
    <w:rsid w:val="00DF2929"/>
    <w:rsid w:val="00DF3B76"/>
    <w:rsid w:val="00DF4359"/>
    <w:rsid w:val="00DF4C1A"/>
    <w:rsid w:val="00DF7751"/>
    <w:rsid w:val="00E031BB"/>
    <w:rsid w:val="00E0424A"/>
    <w:rsid w:val="00E0520E"/>
    <w:rsid w:val="00E0576C"/>
    <w:rsid w:val="00E0626B"/>
    <w:rsid w:val="00E068BC"/>
    <w:rsid w:val="00E073F0"/>
    <w:rsid w:val="00E10761"/>
    <w:rsid w:val="00E108E4"/>
    <w:rsid w:val="00E10C9B"/>
    <w:rsid w:val="00E11D7A"/>
    <w:rsid w:val="00E11EEB"/>
    <w:rsid w:val="00E128F2"/>
    <w:rsid w:val="00E13883"/>
    <w:rsid w:val="00E13EE4"/>
    <w:rsid w:val="00E16463"/>
    <w:rsid w:val="00E239D1"/>
    <w:rsid w:val="00E26727"/>
    <w:rsid w:val="00E26970"/>
    <w:rsid w:val="00E27791"/>
    <w:rsid w:val="00E30F2D"/>
    <w:rsid w:val="00E319DB"/>
    <w:rsid w:val="00E31AFC"/>
    <w:rsid w:val="00E3409E"/>
    <w:rsid w:val="00E34F76"/>
    <w:rsid w:val="00E37BE5"/>
    <w:rsid w:val="00E41A27"/>
    <w:rsid w:val="00E41E2F"/>
    <w:rsid w:val="00E42910"/>
    <w:rsid w:val="00E430C7"/>
    <w:rsid w:val="00E4608B"/>
    <w:rsid w:val="00E464EC"/>
    <w:rsid w:val="00E46FF0"/>
    <w:rsid w:val="00E501D3"/>
    <w:rsid w:val="00E53A01"/>
    <w:rsid w:val="00E564C4"/>
    <w:rsid w:val="00E567C9"/>
    <w:rsid w:val="00E604C4"/>
    <w:rsid w:val="00E60809"/>
    <w:rsid w:val="00E611AE"/>
    <w:rsid w:val="00E61300"/>
    <w:rsid w:val="00E614F2"/>
    <w:rsid w:val="00E635B9"/>
    <w:rsid w:val="00E65D15"/>
    <w:rsid w:val="00E66C49"/>
    <w:rsid w:val="00E67EE5"/>
    <w:rsid w:val="00E7013A"/>
    <w:rsid w:val="00E74104"/>
    <w:rsid w:val="00E7473C"/>
    <w:rsid w:val="00E74F5D"/>
    <w:rsid w:val="00E76034"/>
    <w:rsid w:val="00E80440"/>
    <w:rsid w:val="00E80515"/>
    <w:rsid w:val="00E817E0"/>
    <w:rsid w:val="00E819FB"/>
    <w:rsid w:val="00E82EE4"/>
    <w:rsid w:val="00E831E7"/>
    <w:rsid w:val="00E843B5"/>
    <w:rsid w:val="00E84A3B"/>
    <w:rsid w:val="00E85307"/>
    <w:rsid w:val="00E907E4"/>
    <w:rsid w:val="00E90A24"/>
    <w:rsid w:val="00E90C34"/>
    <w:rsid w:val="00E919AC"/>
    <w:rsid w:val="00E93687"/>
    <w:rsid w:val="00E946A6"/>
    <w:rsid w:val="00E947E4"/>
    <w:rsid w:val="00E94C9F"/>
    <w:rsid w:val="00E96A29"/>
    <w:rsid w:val="00E96B28"/>
    <w:rsid w:val="00E96FE6"/>
    <w:rsid w:val="00EA0A5C"/>
    <w:rsid w:val="00EA0AD2"/>
    <w:rsid w:val="00EA0CF0"/>
    <w:rsid w:val="00EA1D43"/>
    <w:rsid w:val="00EA4EC9"/>
    <w:rsid w:val="00EA5E0F"/>
    <w:rsid w:val="00EA6103"/>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966"/>
    <w:rsid w:val="00EC2CFF"/>
    <w:rsid w:val="00EC5F2F"/>
    <w:rsid w:val="00EC651E"/>
    <w:rsid w:val="00EC692E"/>
    <w:rsid w:val="00EC745E"/>
    <w:rsid w:val="00EC7EAF"/>
    <w:rsid w:val="00ED1759"/>
    <w:rsid w:val="00ED27C3"/>
    <w:rsid w:val="00ED33AE"/>
    <w:rsid w:val="00ED3775"/>
    <w:rsid w:val="00ED4A6D"/>
    <w:rsid w:val="00ED6D4A"/>
    <w:rsid w:val="00ED738C"/>
    <w:rsid w:val="00ED7918"/>
    <w:rsid w:val="00ED7FD3"/>
    <w:rsid w:val="00EE16F6"/>
    <w:rsid w:val="00EE3663"/>
    <w:rsid w:val="00EE41C4"/>
    <w:rsid w:val="00EE4A40"/>
    <w:rsid w:val="00EE76A9"/>
    <w:rsid w:val="00EE799E"/>
    <w:rsid w:val="00EE7B5A"/>
    <w:rsid w:val="00EE7C7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420E"/>
    <w:rsid w:val="00F143A1"/>
    <w:rsid w:val="00F16739"/>
    <w:rsid w:val="00F16DE2"/>
    <w:rsid w:val="00F17C5F"/>
    <w:rsid w:val="00F2052B"/>
    <w:rsid w:val="00F210C7"/>
    <w:rsid w:val="00F213FF"/>
    <w:rsid w:val="00F2260F"/>
    <w:rsid w:val="00F242AD"/>
    <w:rsid w:val="00F247F2"/>
    <w:rsid w:val="00F252A8"/>
    <w:rsid w:val="00F2608D"/>
    <w:rsid w:val="00F265F7"/>
    <w:rsid w:val="00F27FA6"/>
    <w:rsid w:val="00F33DC8"/>
    <w:rsid w:val="00F34444"/>
    <w:rsid w:val="00F360A6"/>
    <w:rsid w:val="00F4065A"/>
    <w:rsid w:val="00F40F19"/>
    <w:rsid w:val="00F4275C"/>
    <w:rsid w:val="00F45693"/>
    <w:rsid w:val="00F45A86"/>
    <w:rsid w:val="00F47983"/>
    <w:rsid w:val="00F52339"/>
    <w:rsid w:val="00F5277A"/>
    <w:rsid w:val="00F52876"/>
    <w:rsid w:val="00F532E8"/>
    <w:rsid w:val="00F537FF"/>
    <w:rsid w:val="00F560FE"/>
    <w:rsid w:val="00F56EF6"/>
    <w:rsid w:val="00F605B6"/>
    <w:rsid w:val="00F6111C"/>
    <w:rsid w:val="00F613EC"/>
    <w:rsid w:val="00F614C0"/>
    <w:rsid w:val="00F61647"/>
    <w:rsid w:val="00F61F5F"/>
    <w:rsid w:val="00F6280F"/>
    <w:rsid w:val="00F64BEC"/>
    <w:rsid w:val="00F657CF"/>
    <w:rsid w:val="00F66A00"/>
    <w:rsid w:val="00F713A3"/>
    <w:rsid w:val="00F71A8F"/>
    <w:rsid w:val="00F75330"/>
    <w:rsid w:val="00F76BD9"/>
    <w:rsid w:val="00F80318"/>
    <w:rsid w:val="00F80703"/>
    <w:rsid w:val="00F80948"/>
    <w:rsid w:val="00F80A7F"/>
    <w:rsid w:val="00F81387"/>
    <w:rsid w:val="00F81835"/>
    <w:rsid w:val="00F81E3D"/>
    <w:rsid w:val="00F822E3"/>
    <w:rsid w:val="00F825B5"/>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230"/>
    <w:rsid w:val="00FA3F80"/>
    <w:rsid w:val="00FA413A"/>
    <w:rsid w:val="00FA4144"/>
    <w:rsid w:val="00FA4DDF"/>
    <w:rsid w:val="00FA52EC"/>
    <w:rsid w:val="00FA68DC"/>
    <w:rsid w:val="00FA6E7F"/>
    <w:rsid w:val="00FA6EF4"/>
    <w:rsid w:val="00FA7114"/>
    <w:rsid w:val="00FB0826"/>
    <w:rsid w:val="00FB2379"/>
    <w:rsid w:val="00FB4407"/>
    <w:rsid w:val="00FB4B8A"/>
    <w:rsid w:val="00FB5152"/>
    <w:rsid w:val="00FB680E"/>
    <w:rsid w:val="00FC0065"/>
    <w:rsid w:val="00FC3AEE"/>
    <w:rsid w:val="00FC6238"/>
    <w:rsid w:val="00FC78AD"/>
    <w:rsid w:val="00FD0D70"/>
    <w:rsid w:val="00FD33FC"/>
    <w:rsid w:val="00FD3730"/>
    <w:rsid w:val="00FD3ADE"/>
    <w:rsid w:val="00FD3B08"/>
    <w:rsid w:val="00FD4806"/>
    <w:rsid w:val="00FD4BA4"/>
    <w:rsid w:val="00FD534E"/>
    <w:rsid w:val="00FD56C7"/>
    <w:rsid w:val="00FD5CBB"/>
    <w:rsid w:val="00FD6B74"/>
    <w:rsid w:val="00FD70AE"/>
    <w:rsid w:val="00FD7564"/>
    <w:rsid w:val="00FE002E"/>
    <w:rsid w:val="00FE04B0"/>
    <w:rsid w:val="00FE2398"/>
    <w:rsid w:val="00FE515A"/>
    <w:rsid w:val="00FE5624"/>
    <w:rsid w:val="00FE5D2C"/>
    <w:rsid w:val="00FE5FBF"/>
    <w:rsid w:val="00FE6C25"/>
    <w:rsid w:val="00FF033A"/>
    <w:rsid w:val="00FF035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5AIRPNAIUNRU-1830940522-1856</_dlc_DocId>
    <_dlc_DocIdUrl xmlns="71c5aaf6-e6ce-465b-b873-5148d2a4c105">
      <Url>https://nokia.sharepoint.com/sites/c5g/5gradio/_layouts/15/DocIdRedir.aspx?ID=5AIRPNAIUNRU-1830940522-1856</Url>
      <Description>5AIRPNAIUNRU-1830940522-1856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99982E4F-F1BD-4EEF-A19E-D303FB4F0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5.xml><?xml version="1.0" encoding="utf-8"?>
<ds:datastoreItem xmlns:ds="http://schemas.openxmlformats.org/officeDocument/2006/customXml" ds:itemID="{D856A216-6A37-48E8-86E2-8E6B4949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39</TotalTime>
  <Pages>6</Pages>
  <Words>1799</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Karol</cp:lastModifiedBy>
  <cp:revision>6</cp:revision>
  <cp:lastPrinted>2016-06-20T11:35:00Z</cp:lastPrinted>
  <dcterms:created xsi:type="dcterms:W3CDTF">2017-09-11T07:33:00Z</dcterms:created>
  <dcterms:modified xsi:type="dcterms:W3CDTF">2017-09-11T16:29:00Z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eef38f42-135d-4288-b699-81129e6d4e3f</vt:lpwstr>
  </property>
</Properties>
</file>